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B1" w:rsidRPr="001C7796" w:rsidRDefault="001C19B1" w:rsidP="001C19B1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 w:rsidRPr="001C7796">
        <w:rPr>
          <w:rFonts w:ascii="Garamond" w:hAnsi="Garamond" w:cs="Garamond"/>
          <w:bCs/>
          <w:i/>
          <w:szCs w:val="24"/>
          <w:lang w:eastAsia="zh-CN"/>
        </w:rPr>
        <w:t>2. számú melléklet</w:t>
      </w:r>
    </w:p>
    <w:p w:rsidR="001C19B1" w:rsidRPr="001C7796" w:rsidRDefault="001C19B1" w:rsidP="001C19B1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1C19B1" w:rsidRPr="001C7796" w:rsidRDefault="001C19B1" w:rsidP="001C19B1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 w:rsidRPr="001C7796"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bírálati szempontrendszer</w:t>
      </w:r>
      <w:r w:rsidRPr="001C7796">
        <w:rPr>
          <w:rStyle w:val="Lbjegyzet-hivatkozs"/>
          <w:rFonts w:ascii="Garamond" w:eastAsia="SimSun" w:hAnsi="Garamond" w:cs="Garamond"/>
          <w:b/>
          <w:bCs/>
          <w:caps/>
          <w:szCs w:val="24"/>
          <w:u w:val="single"/>
          <w:lang w:eastAsia="zh-CN"/>
        </w:rPr>
        <w:footnoteReference w:id="1"/>
      </w:r>
      <w:r w:rsidRPr="001C7796"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 xml:space="preserve"> </w:t>
      </w:r>
      <w:r w:rsidRPr="001C7796">
        <w:rPr>
          <w:rStyle w:val="Lbjegyzet-hivatkozs"/>
          <w:rFonts w:ascii="Garamond" w:eastAsia="SimSun" w:hAnsi="Garamond" w:cs="Garamond"/>
          <w:b/>
          <w:bCs/>
          <w:caps/>
          <w:szCs w:val="24"/>
          <w:u w:val="single"/>
          <w:lang w:eastAsia="zh-CN"/>
        </w:rPr>
        <w:footnoteReference w:id="2"/>
      </w:r>
    </w:p>
    <w:p w:rsidR="001C19B1" w:rsidRPr="000546C0" w:rsidRDefault="001C19B1" w:rsidP="001C19B1">
      <w:pPr>
        <w:jc w:val="both"/>
        <w:rPr>
          <w:rFonts w:ascii="Garamond" w:hAnsi="Garamond" w:cs="Garamond"/>
          <w:szCs w:val="24"/>
          <w:highlight w:val="lightGray"/>
          <w:u w:val="single"/>
          <w:lang w:eastAsia="zh-CN"/>
        </w:rPr>
      </w:pPr>
    </w:p>
    <w:p w:rsidR="001C19B1" w:rsidRPr="007A1EF2" w:rsidRDefault="001C19B1" w:rsidP="001C19B1">
      <w:pPr>
        <w:tabs>
          <w:tab w:val="center" w:pos="4932"/>
        </w:tabs>
      </w:pPr>
      <w:r w:rsidRPr="007A1EF2">
        <w:tab/>
      </w:r>
    </w:p>
    <w:tbl>
      <w:tblPr>
        <w:tblStyle w:val="Rcsostblzat"/>
        <w:tblW w:w="10173" w:type="dxa"/>
        <w:jc w:val="center"/>
        <w:tblLook w:val="04A0" w:firstRow="1" w:lastRow="0" w:firstColumn="1" w:lastColumn="0" w:noHBand="0" w:noVBand="1"/>
      </w:tblPr>
      <w:tblGrid>
        <w:gridCol w:w="1573"/>
        <w:gridCol w:w="3118"/>
        <w:gridCol w:w="5482"/>
      </w:tblGrid>
      <w:tr w:rsidR="001C19B1" w:rsidRPr="007A1EF2" w:rsidTr="00AA4396">
        <w:trPr>
          <w:jc w:val="center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1C19B1" w:rsidRPr="007A1EF2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1EF2">
              <w:rPr>
                <w:rFonts w:ascii="Garamond" w:hAnsi="Garamond"/>
                <w:b/>
                <w:sz w:val="22"/>
                <w:szCs w:val="22"/>
              </w:rPr>
              <w:t>Hivatkozás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C19B1" w:rsidRPr="007A1EF2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1EF2">
              <w:rPr>
                <w:rFonts w:ascii="Garamond" w:hAnsi="Garamond"/>
                <w:b/>
                <w:sz w:val="22"/>
                <w:szCs w:val="22"/>
              </w:rPr>
              <w:t>Megnevezés</w:t>
            </w:r>
          </w:p>
        </w:tc>
        <w:tc>
          <w:tcPr>
            <w:tcW w:w="5482" w:type="dxa"/>
            <w:shd w:val="clear" w:color="auto" w:fill="F2F2F2" w:themeFill="background1" w:themeFillShade="F2"/>
            <w:vAlign w:val="center"/>
          </w:tcPr>
          <w:p w:rsidR="001C19B1" w:rsidRPr="007A1EF2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1EF2">
              <w:rPr>
                <w:rFonts w:ascii="Garamond" w:hAnsi="Garamond"/>
                <w:b/>
                <w:sz w:val="22"/>
                <w:szCs w:val="22"/>
              </w:rPr>
              <w:t>Értékelés</w:t>
            </w:r>
          </w:p>
        </w:tc>
      </w:tr>
      <w:tr w:rsidR="001C19B1" w:rsidRPr="000546C0" w:rsidTr="00AA4396">
        <w:trPr>
          <w:jc w:val="center"/>
        </w:trPr>
        <w:tc>
          <w:tcPr>
            <w:tcW w:w="1573" w:type="dxa"/>
            <w:vAlign w:val="center"/>
          </w:tcPr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63781A">
              <w:rPr>
                <w:rFonts w:ascii="Garamond" w:hAnsi="Garamond"/>
                <w:sz w:val="22"/>
                <w:szCs w:val="22"/>
              </w:rPr>
              <w:t>6.§ (1) a) pont</w:t>
            </w:r>
          </w:p>
        </w:tc>
        <w:tc>
          <w:tcPr>
            <w:tcW w:w="3118" w:type="dxa"/>
            <w:vAlign w:val="center"/>
          </w:tcPr>
          <w:p w:rsidR="001C19B1" w:rsidRPr="00B661AC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3781A">
              <w:rPr>
                <w:rFonts w:ascii="Garamond" w:hAnsi="Garamond"/>
                <w:sz w:val="22"/>
                <w:szCs w:val="22"/>
              </w:rPr>
              <w:t>Az Ajánlattevő által száll</w:t>
            </w:r>
            <w:r>
              <w:rPr>
                <w:rFonts w:ascii="Garamond" w:hAnsi="Garamond"/>
                <w:sz w:val="22"/>
                <w:szCs w:val="22"/>
              </w:rPr>
              <w:t>ított termékek vonatkozásában az Ajánlatkérő</w:t>
            </w:r>
            <w:r w:rsidRPr="0063781A">
              <w:rPr>
                <w:rFonts w:ascii="Garamond" w:hAnsi="Garamond"/>
                <w:sz w:val="22"/>
                <w:szCs w:val="22"/>
              </w:rPr>
              <w:t xml:space="preserve"> által fenntartott köznevelési intézményekben érkezett, a 21. § (9) bekezdése szerinti minőségi kifogások száma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482" w:type="dxa"/>
            <w:vAlign w:val="center"/>
          </w:tcPr>
          <w:p w:rsidR="001C19B1" w:rsidRPr="0063781A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63781A">
              <w:rPr>
                <w:rFonts w:ascii="Garamond" w:hAnsi="Garamond"/>
                <w:sz w:val="22"/>
                <w:szCs w:val="22"/>
              </w:rPr>
              <w:t xml:space="preserve">Az az Ajánlattevő (kérelmező) részesül előnyben, </w:t>
            </w:r>
            <w:proofErr w:type="gramStart"/>
            <w:r w:rsidRPr="0063781A">
              <w:rPr>
                <w:rFonts w:ascii="Garamond" w:hAnsi="Garamond"/>
                <w:sz w:val="22"/>
                <w:szCs w:val="22"/>
              </w:rPr>
              <w:t>aki</w:t>
            </w:r>
            <w:proofErr w:type="gramEnd"/>
            <w:r w:rsidRPr="0063781A">
              <w:rPr>
                <w:rFonts w:ascii="Garamond" w:hAnsi="Garamond"/>
                <w:sz w:val="22"/>
                <w:szCs w:val="22"/>
              </w:rPr>
              <w:t xml:space="preserve"> vagy amely által szállított termékek vonatkozásában kevesebb, a 21. § (9) bekezdése szerinti minőségi kifogás érkezett.</w:t>
            </w:r>
            <w:r w:rsidRPr="0063781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  <w:highlight w:val="lightGray"/>
              </w:rPr>
            </w:pP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63781A">
              <w:rPr>
                <w:rFonts w:ascii="Garamond" w:hAnsi="Garamond"/>
                <w:sz w:val="22"/>
                <w:szCs w:val="22"/>
              </w:rPr>
              <w:t>z adott tanítási évben az ajánlat benyújtásának időpontját megelőzően a fenntartó által fenntartott köznevelési intézmények részére történt összes szállítás és a 13. §-</w:t>
            </w:r>
            <w:proofErr w:type="spellStart"/>
            <w:r w:rsidRPr="0063781A">
              <w:rPr>
                <w:rFonts w:ascii="Garamond" w:hAnsi="Garamond"/>
                <w:sz w:val="22"/>
                <w:szCs w:val="22"/>
              </w:rPr>
              <w:t>ban</w:t>
            </w:r>
            <w:proofErr w:type="spellEnd"/>
            <w:r w:rsidRPr="0063781A">
              <w:rPr>
                <w:rFonts w:ascii="Garamond" w:hAnsi="Garamond"/>
                <w:sz w:val="22"/>
                <w:szCs w:val="22"/>
              </w:rPr>
              <w:t xml:space="preserve"> meghatározott feltételeknek a gyümölcs és zöldség ellenőrzéséről szóló 82/2004. (V. 11.) FVM rendeletben meghatározott Zöldség-Gyümölcs Minőségellenőrzési Szolgálat által igazoltan a kiszállításkor meg nem felelő szállítmányok arányát kell figyelembe venni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C19B1" w:rsidRPr="000546C0" w:rsidTr="00AA4396">
        <w:trPr>
          <w:jc w:val="center"/>
        </w:trPr>
        <w:tc>
          <w:tcPr>
            <w:tcW w:w="1573" w:type="dxa"/>
            <w:vAlign w:val="center"/>
          </w:tcPr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63781A">
              <w:rPr>
                <w:rFonts w:ascii="Garamond" w:hAnsi="Garamond"/>
                <w:sz w:val="22"/>
                <w:szCs w:val="22"/>
              </w:rPr>
              <w:t>6.§ (1) b) pont</w:t>
            </w:r>
          </w:p>
        </w:tc>
        <w:tc>
          <w:tcPr>
            <w:tcW w:w="3118" w:type="dxa"/>
            <w:vAlign w:val="center"/>
          </w:tcPr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FB782F">
              <w:rPr>
                <w:rFonts w:ascii="Garamond" w:hAnsi="Garamond"/>
                <w:sz w:val="22"/>
                <w:szCs w:val="22"/>
              </w:rPr>
              <w:t>Az ajánlatban szereplő</w:t>
            </w:r>
            <w:r>
              <w:rPr>
                <w:rFonts w:ascii="Garamond" w:hAnsi="Garamond"/>
                <w:sz w:val="22"/>
                <w:szCs w:val="22"/>
              </w:rPr>
              <w:t xml:space="preserve"> és a megállapodásban elfogadott</w:t>
            </w:r>
            <w:r w:rsidRPr="00FB782F">
              <w:rPr>
                <w:rFonts w:ascii="Garamond" w:hAnsi="Garamond"/>
                <w:sz w:val="22"/>
                <w:szCs w:val="22"/>
              </w:rPr>
              <w:t>, az érintett járásba tartozó köznevelési intézmények részére felajánlott, a köznevelési intézmény székhelye szerinti megyében termett friss vagy előállított, feldolgozott termékek mennyisége (adag).</w:t>
            </w:r>
          </w:p>
        </w:tc>
        <w:tc>
          <w:tcPr>
            <w:tcW w:w="5482" w:type="dxa"/>
            <w:vAlign w:val="center"/>
          </w:tcPr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FB782F">
              <w:rPr>
                <w:rFonts w:ascii="Garamond" w:hAnsi="Garamond"/>
                <w:sz w:val="22"/>
                <w:szCs w:val="22"/>
              </w:rPr>
              <w:t xml:space="preserve">Az az Ajánlattevő (kérelmező) részesül előnyben, </w:t>
            </w:r>
            <w:proofErr w:type="gramStart"/>
            <w:r w:rsidRPr="00FB782F">
              <w:rPr>
                <w:rFonts w:ascii="Garamond" w:hAnsi="Garamond"/>
                <w:sz w:val="22"/>
                <w:szCs w:val="22"/>
              </w:rPr>
              <w:t>aki</w:t>
            </w:r>
            <w:proofErr w:type="gramEnd"/>
            <w:r w:rsidRPr="00FB782F">
              <w:rPr>
                <w:rFonts w:ascii="Garamond" w:hAnsi="Garamond"/>
                <w:sz w:val="22"/>
                <w:szCs w:val="22"/>
              </w:rPr>
              <w:t xml:space="preserve"> vagy </w:t>
            </w:r>
            <w:r w:rsidRPr="00440317">
              <w:rPr>
                <w:rFonts w:ascii="Garamond" w:hAnsi="Garamond"/>
                <w:sz w:val="22"/>
                <w:szCs w:val="22"/>
              </w:rPr>
              <w:t>amely tanulónként hetente</w:t>
            </w:r>
            <w:r w:rsidRPr="00FB782F">
              <w:rPr>
                <w:rFonts w:ascii="Garamond" w:hAnsi="Garamond"/>
                <w:sz w:val="22"/>
                <w:szCs w:val="22"/>
              </w:rPr>
              <w:t xml:space="preserve"> több adag, a köznevelési intézmény székhelye szerinti megyében termett vagy előállított terméket szállít.</w:t>
            </w:r>
          </w:p>
        </w:tc>
      </w:tr>
      <w:tr w:rsidR="001C19B1" w:rsidRPr="000546C0" w:rsidTr="00AA4396">
        <w:trPr>
          <w:jc w:val="center"/>
        </w:trPr>
        <w:tc>
          <w:tcPr>
            <w:tcW w:w="1573" w:type="dxa"/>
            <w:vAlign w:val="center"/>
          </w:tcPr>
          <w:p w:rsidR="001C19B1" w:rsidRPr="00FA4E79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FA4E79">
              <w:rPr>
                <w:rFonts w:ascii="Garamond" w:hAnsi="Garamond"/>
                <w:sz w:val="22"/>
                <w:szCs w:val="22"/>
              </w:rPr>
              <w:t>6.§ (1) c) pont</w:t>
            </w: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</w:p>
        </w:tc>
        <w:tc>
          <w:tcPr>
            <w:tcW w:w="3118" w:type="dxa"/>
            <w:vAlign w:val="center"/>
          </w:tcPr>
          <w:p w:rsidR="001C19B1" w:rsidRPr="00FA4E79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FA4E79">
              <w:rPr>
                <w:rFonts w:ascii="Garamond" w:hAnsi="Garamond"/>
                <w:sz w:val="22"/>
                <w:szCs w:val="22"/>
              </w:rPr>
              <w:t xml:space="preserve">A 2018/2019. tanítási évben az Ajánlatkérő által fenntartott köznevelési intézményekben megvalósított, a tanulók zöldség-gyümölcs fogyasztását ösztönző szemléletformálást elősegítő, 9.§ (4) bekezdés szerinti kísérő intézkedések száma </w:t>
            </w: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FA4E79">
              <w:rPr>
                <w:rFonts w:ascii="Garamond" w:hAnsi="Garamond"/>
                <w:sz w:val="22"/>
                <w:szCs w:val="22"/>
              </w:rPr>
              <w:t>(alkalom; fő/alkalom).</w:t>
            </w:r>
          </w:p>
        </w:tc>
        <w:tc>
          <w:tcPr>
            <w:tcW w:w="5482" w:type="dxa"/>
            <w:vAlign w:val="center"/>
          </w:tcPr>
          <w:p w:rsidR="001C19B1" w:rsidRPr="00FA4E79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FA4E79">
              <w:rPr>
                <w:rFonts w:ascii="Garamond" w:hAnsi="Garamond"/>
                <w:sz w:val="22"/>
                <w:szCs w:val="22"/>
              </w:rPr>
              <w:t xml:space="preserve">Az az Ajánlattevő (kérelmező) részesül előnyben, </w:t>
            </w:r>
            <w:proofErr w:type="gramStart"/>
            <w:r w:rsidRPr="00FA4E79">
              <w:rPr>
                <w:rFonts w:ascii="Garamond" w:hAnsi="Garamond"/>
                <w:sz w:val="22"/>
                <w:szCs w:val="22"/>
              </w:rPr>
              <w:t>aki</w:t>
            </w:r>
            <w:proofErr w:type="gramEnd"/>
            <w:r w:rsidRPr="00FA4E79">
              <w:rPr>
                <w:rFonts w:ascii="Garamond" w:hAnsi="Garamond"/>
                <w:sz w:val="22"/>
                <w:szCs w:val="22"/>
              </w:rPr>
              <w:t xml:space="preserve"> vagy amely </w:t>
            </w:r>
            <w:r>
              <w:rPr>
                <w:rFonts w:ascii="Garamond" w:hAnsi="Garamond"/>
                <w:sz w:val="22"/>
                <w:szCs w:val="22"/>
              </w:rPr>
              <w:t xml:space="preserve">a megkötendő megállapodás szerinti szállítások kezdetét megelőző tanítási évben </w:t>
            </w:r>
            <w:r w:rsidRPr="00FA4E79">
              <w:rPr>
                <w:rFonts w:ascii="Garamond" w:hAnsi="Garamond"/>
                <w:sz w:val="22"/>
                <w:szCs w:val="22"/>
              </w:rPr>
              <w:t>több alkalommal, alkalmanként több, a 2. § (1) bekezdése szerinti tanulót elérő, a tanulók zöldség-gyümölcs fogyasztását ösztönző szemléletformálást elősegítő, 9.§ (4) bekezdés szerinti kísérő intézkedést valósított meg.</w:t>
            </w: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</w:p>
          <w:p w:rsidR="001C19B1" w:rsidRPr="0007340D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07340D">
              <w:rPr>
                <w:rFonts w:ascii="Garamond" w:hAnsi="Garamond"/>
                <w:i/>
                <w:sz w:val="22"/>
                <w:szCs w:val="22"/>
              </w:rPr>
              <w:t>(A 2018/2019. tanítási év során megvalósított kísérő intézkedéseknek az alkalmak és az alkalmanként elért tanulók száma szorzatainak összege alapján számított számának és a  kérelmező részére a  2018/2019. tanítási év vonatkozásában jóváhagyott, az Ajánlatkérővel kötött megállapodásokban szereplő, a  2.  § (1)  bekezdése szerinti tanulók összlétszámának arányát kell figyelembe venni.</w:t>
            </w: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  <w:highlight w:val="lightGray"/>
              </w:rPr>
            </w:pPr>
          </w:p>
          <w:p w:rsidR="001C19B1" w:rsidRPr="0007340D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07340D">
              <w:rPr>
                <w:rFonts w:ascii="Garamond" w:hAnsi="Garamond"/>
                <w:i/>
                <w:sz w:val="22"/>
                <w:szCs w:val="22"/>
              </w:rPr>
              <w:t>VAGY</w:t>
            </w:r>
          </w:p>
          <w:p w:rsidR="001C19B1" w:rsidRPr="0007340D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1C19B1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07340D">
              <w:rPr>
                <w:rFonts w:ascii="Garamond" w:hAnsi="Garamond"/>
                <w:i/>
                <w:sz w:val="22"/>
                <w:szCs w:val="22"/>
              </w:rPr>
              <w:t xml:space="preserve">A 2018/2019. tanítási év vonatkozásában Ajánlatkérővel kötött, jóváhagyott megállapodással nem rendelkező Ajánlattevő (kérelmező) esetén: a 2018/2019. tanítási év során megvalósított kísérő intézkedéseknek az alkalmak és az  alkalmanként elért tanulók száma szorzatainak összege alapján számított számának </w:t>
            </w:r>
            <w:r w:rsidRPr="000546C0">
              <w:rPr>
                <w:rFonts w:ascii="Garamond" w:hAnsi="Garamond"/>
                <w:i/>
                <w:sz w:val="22"/>
                <w:szCs w:val="22"/>
                <w:highlight w:val="lightGray"/>
              </w:rPr>
              <w:t>és</w:t>
            </w:r>
            <w:r>
              <w:rPr>
                <w:rFonts w:ascii="Garamond" w:hAnsi="Garamond"/>
                <w:i/>
                <w:sz w:val="22"/>
                <w:szCs w:val="22"/>
                <w:highlight w:val="lightGray"/>
              </w:rPr>
              <w:t xml:space="preserve"> a</w:t>
            </w:r>
            <w:r w:rsidRPr="000546C0">
              <w:rPr>
                <w:rFonts w:ascii="Garamond" w:hAnsi="Garamond"/>
                <w:i/>
                <w:sz w:val="22"/>
                <w:szCs w:val="22"/>
                <w:highlight w:val="lightGray"/>
              </w:rPr>
              <w:t xml:space="preserve"> </w:t>
            </w:r>
            <w:r w:rsidRPr="0007340D">
              <w:rPr>
                <w:rFonts w:ascii="Garamond" w:hAnsi="Garamond"/>
                <w:i/>
                <w:sz w:val="22"/>
                <w:szCs w:val="22"/>
              </w:rPr>
              <w:t xml:space="preserve">2018/2019. tanítási év </w:t>
            </w:r>
            <w:r w:rsidRPr="008059DA">
              <w:rPr>
                <w:rFonts w:ascii="Garamond" w:hAnsi="Garamond"/>
                <w:i/>
                <w:sz w:val="22"/>
                <w:szCs w:val="22"/>
              </w:rPr>
              <w:t xml:space="preserve">vonatkozásában jóváhagyott megállapodásokban szereplő, a 2. § (1) bekezdése szerinti tanulók összlétszámának arányát kell figyelembe venni. </w:t>
            </w:r>
          </w:p>
          <w:p w:rsidR="001C19B1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1C19B1" w:rsidRPr="0007340D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07340D">
              <w:rPr>
                <w:rFonts w:ascii="Garamond" w:hAnsi="Garamond"/>
                <w:i/>
                <w:sz w:val="22"/>
                <w:szCs w:val="22"/>
              </w:rPr>
              <w:t>VAGY</w:t>
            </w:r>
          </w:p>
          <w:p w:rsidR="001C19B1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1C19B1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07340D">
              <w:rPr>
                <w:rFonts w:ascii="Garamond" w:hAnsi="Garamond"/>
                <w:i/>
                <w:sz w:val="22"/>
                <w:szCs w:val="22"/>
              </w:rPr>
              <w:t xml:space="preserve">A 2018/2019. tanítási év vonatkozásában jóváhagyott megállapodással nem rendelkező Ajánlattevő (kérelmező) esetén: </w:t>
            </w: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  <w:highlight w:val="lightGray"/>
              </w:rPr>
            </w:pPr>
            <w:r w:rsidRPr="008059DA">
              <w:rPr>
                <w:rFonts w:ascii="Garamond" w:hAnsi="Garamond"/>
                <w:i/>
                <w:sz w:val="22"/>
                <w:szCs w:val="22"/>
              </w:rPr>
              <w:t>a megállapodás megkötésére vonatkozó, a</w:t>
            </w:r>
            <w:r>
              <w:rPr>
                <w:rFonts w:ascii="Garamond" w:hAnsi="Garamond"/>
                <w:i/>
                <w:sz w:val="22"/>
                <w:szCs w:val="22"/>
              </w:rPr>
              <w:t>z Ajánlatkérőhöz</w:t>
            </w:r>
            <w:r w:rsidRPr="008059DA">
              <w:rPr>
                <w:rFonts w:ascii="Garamond" w:hAnsi="Garamond"/>
                <w:i/>
                <w:sz w:val="22"/>
                <w:szCs w:val="22"/>
              </w:rPr>
              <w:t xml:space="preserve"> benyújtott ajánlatban </w:t>
            </w:r>
            <w:proofErr w:type="gramStart"/>
            <w:r w:rsidRPr="008059DA">
              <w:rPr>
                <w:rFonts w:ascii="Garamond" w:hAnsi="Garamond"/>
                <w:i/>
                <w:sz w:val="22"/>
                <w:szCs w:val="22"/>
              </w:rPr>
              <w:t>szereplő kísérő</w:t>
            </w:r>
            <w:proofErr w:type="gramEnd"/>
            <w:r w:rsidRPr="008059DA">
              <w:rPr>
                <w:rFonts w:ascii="Garamond" w:hAnsi="Garamond"/>
                <w:i/>
                <w:sz w:val="22"/>
                <w:szCs w:val="22"/>
              </w:rPr>
              <w:t xml:space="preserve"> intézkedéseknek az alkalmak és az alkalmanként elért tanulók száma szorzatainak összege alapján számított számának és a</w:t>
            </w:r>
            <w:r>
              <w:rPr>
                <w:rFonts w:ascii="Garamond" w:hAnsi="Garamond"/>
                <w:i/>
                <w:sz w:val="22"/>
                <w:szCs w:val="22"/>
              </w:rPr>
              <w:t>z Ajánlatkérőhöz</w:t>
            </w:r>
            <w:r w:rsidRPr="008059DA">
              <w:rPr>
                <w:rFonts w:ascii="Garamond" w:hAnsi="Garamond"/>
                <w:i/>
                <w:sz w:val="22"/>
                <w:szCs w:val="22"/>
              </w:rPr>
              <w:t xml:space="preserve"> benyújtott, a megállapodás megkötésére vonatkozó ajánlatban szereplő, a 2. § (1) bekezdése szerinti tanulók összlétszámának arányát kell figyelembe venni.</w:t>
            </w:r>
            <w:r>
              <w:rPr>
                <w:rFonts w:ascii="Garamond" w:hAnsi="Garamond"/>
                <w:i/>
                <w:sz w:val="22"/>
                <w:szCs w:val="22"/>
                <w:highlight w:val="lightGray"/>
              </w:rPr>
              <w:t xml:space="preserve">                                             </w:t>
            </w: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i/>
                <w:sz w:val="22"/>
                <w:szCs w:val="22"/>
                <w:highlight w:val="lightGray"/>
              </w:rPr>
            </w:pPr>
          </w:p>
          <w:p w:rsidR="001C19B1" w:rsidRPr="000546C0" w:rsidRDefault="001C19B1" w:rsidP="00AA4396">
            <w:pPr>
              <w:tabs>
                <w:tab w:val="center" w:pos="4932"/>
              </w:tabs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8D73F0">
              <w:rPr>
                <w:rFonts w:ascii="Garamond" w:hAnsi="Garamond"/>
                <w:i/>
                <w:sz w:val="22"/>
                <w:szCs w:val="22"/>
              </w:rPr>
              <w:t>A kísérő intézkedések száma legfeljebb az Ajánlatkérővel kötött, jóváhagyott megállapodásokban vagy jóváhagyott megállapodással nem rendelkező kérelmezők esetén a megállapodás megkötésére vonatkozó ajánlatban szereplő tanulók létszámának négyszeresével megegyező mértékig vehető figyelembe.)</w:t>
            </w:r>
          </w:p>
        </w:tc>
      </w:tr>
    </w:tbl>
    <w:p w:rsidR="001C19B1" w:rsidRPr="000546C0" w:rsidRDefault="001C19B1" w:rsidP="001C19B1">
      <w:pPr>
        <w:rPr>
          <w:highlight w:val="lightGray"/>
        </w:rPr>
      </w:pPr>
    </w:p>
    <w:p w:rsidR="0029042F" w:rsidRPr="001C19B1" w:rsidRDefault="0029042F" w:rsidP="001C19B1">
      <w:pPr>
        <w:rPr>
          <w:rFonts w:ascii="Garamond" w:hAnsi="Garamond"/>
          <w:i/>
          <w:szCs w:val="24"/>
        </w:rPr>
      </w:pPr>
      <w:bookmarkStart w:id="0" w:name="_GoBack"/>
      <w:bookmarkEnd w:id="0"/>
    </w:p>
    <w:sectPr w:rsidR="0029042F" w:rsidRPr="001C19B1" w:rsidSect="00F2757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021" w:right="1021" w:bottom="851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74" w:rsidRDefault="00171874" w:rsidP="00F27570">
      <w:r>
        <w:separator/>
      </w:r>
    </w:p>
  </w:endnote>
  <w:endnote w:type="continuationSeparator" w:id="0">
    <w:p w:rsidR="00171874" w:rsidRDefault="00171874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F27570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1C19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1C19B1" w:rsidP="001C19B1">
    <w:pPr>
      <w:pStyle w:val="llb"/>
    </w:pPr>
  </w:p>
  <w:p w:rsidR="001C19B1" w:rsidRPr="001C19B1" w:rsidRDefault="001C19B1" w:rsidP="001C19B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B" w:rsidRDefault="001C19B1" w:rsidP="00C22CFF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74" w:rsidRDefault="00171874" w:rsidP="00F27570">
      <w:r>
        <w:separator/>
      </w:r>
    </w:p>
  </w:footnote>
  <w:footnote w:type="continuationSeparator" w:id="0">
    <w:p w:rsidR="00171874" w:rsidRDefault="00171874" w:rsidP="00F27570">
      <w:r>
        <w:continuationSeparator/>
      </w:r>
    </w:p>
  </w:footnote>
  <w:footnote w:id="1">
    <w:p w:rsidR="001C19B1" w:rsidRDefault="001C19B1" w:rsidP="001C19B1">
      <w:pPr>
        <w:jc w:val="both"/>
      </w:pPr>
      <w:r w:rsidRPr="002373F3">
        <w:rPr>
          <w:rStyle w:val="Lbjegyzet-hivatkozs"/>
          <w:rFonts w:ascii="Garamond" w:eastAsia="SimSun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Jelen mellékletben szereplő jogszabályi hivatkozások </w:t>
      </w:r>
      <w:r w:rsidRPr="00BE2D8C">
        <w:rPr>
          <w:rFonts w:ascii="Garamond" w:hAnsi="Garamond"/>
          <w:bCs/>
          <w:color w:val="000000"/>
          <w:sz w:val="20"/>
          <w:lang w:eastAsia="zh-CN"/>
        </w:rPr>
        <w:t xml:space="preserve">az iskolagyümölcs- és iskolazöldség-program végrehajtásáról szóló </w:t>
      </w:r>
      <w:r>
        <w:rPr>
          <w:rFonts w:ascii="Garamond" w:hAnsi="Garamond"/>
          <w:bCs/>
          <w:color w:val="000000"/>
          <w:sz w:val="20"/>
          <w:lang w:eastAsia="zh-CN"/>
        </w:rPr>
        <w:t>18/2019. (V.10.) A</w:t>
      </w:r>
      <w:r w:rsidRPr="00BE2D8C">
        <w:rPr>
          <w:rFonts w:ascii="Garamond" w:hAnsi="Garamond"/>
          <w:bCs/>
          <w:color w:val="000000"/>
          <w:sz w:val="20"/>
          <w:lang w:eastAsia="zh-CN"/>
        </w:rPr>
        <w:t>M rendeletre</w:t>
      </w:r>
      <w:r w:rsidRPr="00BE2D8C">
        <w:rPr>
          <w:rFonts w:ascii="Garamond" w:hAnsi="Garamond"/>
          <w:sz w:val="20"/>
        </w:rPr>
        <w:t xml:space="preserve"> vonatkoznak.</w:t>
      </w:r>
    </w:p>
  </w:footnote>
  <w:footnote w:id="2">
    <w:p w:rsidR="001C19B1" w:rsidRPr="0098457A" w:rsidRDefault="001C19B1" w:rsidP="001C19B1">
      <w:pPr>
        <w:pStyle w:val="Lbjegyzetszveg"/>
        <w:rPr>
          <w:rFonts w:ascii="Garamond" w:hAnsi="Garamond"/>
        </w:rPr>
      </w:pPr>
      <w:r w:rsidRPr="0098457A">
        <w:rPr>
          <w:rStyle w:val="Lbjegyzet-hivatkozs"/>
          <w:rFonts w:ascii="Garamond" w:eastAsia="SimSun" w:hAnsi="Garamond"/>
        </w:rPr>
        <w:footnoteRef/>
      </w:r>
      <w:r w:rsidRPr="0098457A">
        <w:rPr>
          <w:rFonts w:ascii="Garamond" w:hAnsi="Garamond"/>
        </w:rPr>
        <w:t xml:space="preserve"> </w:t>
      </w:r>
      <w:r>
        <w:rPr>
          <w:rFonts w:ascii="Garamond" w:hAnsi="Garamond"/>
        </w:rPr>
        <w:t>A bírálat az egyes járásokra vonatkozóan beérkező ajánlatokra külön történik.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1C19B1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171874"/>
    <w:rsid w:val="001C19B1"/>
    <w:rsid w:val="00231123"/>
    <w:rsid w:val="0029042F"/>
    <w:rsid w:val="004701AF"/>
    <w:rsid w:val="00517C70"/>
    <w:rsid w:val="0089572D"/>
    <w:rsid w:val="00900430"/>
    <w:rsid w:val="00907E22"/>
    <w:rsid w:val="0098457A"/>
    <w:rsid w:val="00B31354"/>
    <w:rsid w:val="00F10625"/>
    <w:rsid w:val="00F27210"/>
    <w:rsid w:val="00F27570"/>
    <w:rsid w:val="00F8576B"/>
    <w:rsid w:val="00FA51BD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0D0F"/>
  <w15:docId w15:val="{EAAEBE72-5F82-4BF4-9719-917576A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D233-7EF7-4B42-BE47-9B59A021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Kalász Melinda</cp:lastModifiedBy>
  <cp:revision>11</cp:revision>
  <cp:lastPrinted>2019-05-02T21:14:00Z</cp:lastPrinted>
  <dcterms:created xsi:type="dcterms:W3CDTF">2017-04-30T21:59:00Z</dcterms:created>
  <dcterms:modified xsi:type="dcterms:W3CDTF">2019-05-20T11:24:00Z</dcterms:modified>
</cp:coreProperties>
</file>