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645" w:rsidRPr="00723063" w:rsidRDefault="00875604">
      <w:pPr>
        <w:pStyle w:val="Cmsor10"/>
        <w:keepNext/>
        <w:keepLines/>
        <w:rPr>
          <w:rFonts w:ascii="Times New Roman" w:hAnsi="Times New Roman" w:cs="Times New Roman"/>
        </w:rPr>
      </w:pPr>
      <w:bookmarkStart w:id="0" w:name="bookmark0"/>
      <w:r w:rsidRPr="00723063">
        <w:rPr>
          <w:rFonts w:ascii="Times New Roman" w:hAnsi="Times New Roman" w:cs="Times New Roman"/>
        </w:rPr>
        <w:t>TÁJÉKOZTATÓ VISSZAÉLÉS-BEJELENTÉSI RENDSZERRŐL</w:t>
      </w:r>
      <w:bookmarkEnd w:id="0"/>
    </w:p>
    <w:p w:rsidR="00EC1645" w:rsidRDefault="00875604">
      <w:pPr>
        <w:pStyle w:val="Szvegtrzs1"/>
        <w:spacing w:after="240"/>
        <w:jc w:val="both"/>
      </w:pPr>
      <w:r>
        <w:t xml:space="preserve">A </w:t>
      </w:r>
      <w:r w:rsidR="00C46970">
        <w:t>Mátészalkai</w:t>
      </w:r>
      <w:r w:rsidR="00377846">
        <w:t xml:space="preserve"> </w:t>
      </w:r>
      <w:r>
        <w:t xml:space="preserve">Tankerületi Központ (a továbbiakban: Tankerületi Központ) </w:t>
      </w:r>
      <w:r>
        <w:rPr>
          <w:b/>
          <w:bCs/>
        </w:rPr>
        <w:t xml:space="preserve">a panaszokról, a közérdekű bejelentésekről, valamint a visszaélések bejelentésével összefüggő szabályokról szóló 2023. évi XXV. törvény (a továbbiakban: </w:t>
      </w:r>
      <w:proofErr w:type="spellStart"/>
      <w:r>
        <w:rPr>
          <w:b/>
          <w:bCs/>
        </w:rPr>
        <w:t>Panasztv</w:t>
      </w:r>
      <w:proofErr w:type="spellEnd"/>
      <w:r>
        <w:rPr>
          <w:b/>
          <w:bCs/>
        </w:rPr>
        <w:t xml:space="preserve">.) </w:t>
      </w:r>
      <w:r>
        <w:t>18-31. §-</w:t>
      </w:r>
      <w:proofErr w:type="spellStart"/>
      <w:r>
        <w:t>ban</w:t>
      </w:r>
      <w:proofErr w:type="spellEnd"/>
      <w:r>
        <w:t xml:space="preserve"> foglalt rendelkezéseknek megfelelően visszaélés-bejelentési rendszert üzemeltet a </w:t>
      </w:r>
      <w:r>
        <w:rPr>
          <w:b/>
          <w:bCs/>
        </w:rPr>
        <w:t>foglalkoztatottak számára jogellenes vagy jogellenesnek feltételezett cselekményre vagy mulasztásra, illetve egyéb visszaélésre vonatkozó bejelentések kezelésére.</w:t>
      </w:r>
    </w:p>
    <w:p w:rsidR="00EC1645" w:rsidRDefault="00875604">
      <w:pPr>
        <w:pStyle w:val="Cmsor20"/>
        <w:keepNext/>
        <w:keepLines/>
        <w:jc w:val="both"/>
      </w:pPr>
      <w:bookmarkStart w:id="1" w:name="bookmark2"/>
      <w:r>
        <w:t>Milyen esetekben lehet bejelentést tenni?</w:t>
      </w:r>
      <w:bookmarkEnd w:id="1"/>
    </w:p>
    <w:p w:rsidR="00EC1645" w:rsidRDefault="00875604">
      <w:pPr>
        <w:pStyle w:val="Szvegtrzs1"/>
        <w:spacing w:after="240"/>
        <w:jc w:val="both"/>
      </w:pPr>
      <w:r>
        <w:t>A belső visszaélés-bejelentési rendszerben jogellenes vagy jogellenesnek feltételezett cselekményre vagy mulasztásra, illetve egyéb visszaélésre vonatkozó információt lehet bejelenteni.</w:t>
      </w:r>
    </w:p>
    <w:p w:rsidR="00EC1645" w:rsidRDefault="00875604">
      <w:pPr>
        <w:pStyle w:val="Cmsor20"/>
        <w:keepNext/>
        <w:keepLines/>
        <w:jc w:val="both"/>
      </w:pPr>
      <w:bookmarkStart w:id="2" w:name="bookmark4"/>
      <w:r>
        <w:t>Ki tehet bejelentést?</w:t>
      </w:r>
      <w:bookmarkEnd w:id="2"/>
    </w:p>
    <w:p w:rsidR="00EC1645" w:rsidRDefault="00875604">
      <w:pPr>
        <w:pStyle w:val="Szvegtrzs1"/>
        <w:jc w:val="both"/>
      </w:pPr>
      <w:r>
        <w:t>A belső visszaélés-bejelentési rendszerben bejelentést tehet</w:t>
      </w:r>
    </w:p>
    <w:p w:rsidR="00EC1645" w:rsidRDefault="00875604">
      <w:pPr>
        <w:pStyle w:val="Szvegtrzs1"/>
        <w:numPr>
          <w:ilvl w:val="0"/>
          <w:numId w:val="1"/>
        </w:numPr>
        <w:tabs>
          <w:tab w:val="left" w:pos="755"/>
        </w:tabs>
        <w:spacing w:line="264" w:lineRule="auto"/>
        <w:ind w:firstLine="400"/>
        <w:jc w:val="both"/>
      </w:pPr>
      <w:r>
        <w:t>a foglalkoztató által foglalkoztatott;</w:t>
      </w:r>
    </w:p>
    <w:p w:rsidR="00EC1645" w:rsidRDefault="00875604">
      <w:pPr>
        <w:pStyle w:val="Szvegtrzs1"/>
        <w:numPr>
          <w:ilvl w:val="0"/>
          <w:numId w:val="1"/>
        </w:numPr>
        <w:tabs>
          <w:tab w:val="left" w:pos="755"/>
        </w:tabs>
        <w:ind w:left="760" w:hanging="360"/>
        <w:jc w:val="both"/>
      </w:pPr>
      <w:r>
        <w:t>az a foglalkoztatott, akinek a foglalkoztatónál fennálló foglalkoztatásra irányuló jogviszonya megszűnt;</w:t>
      </w:r>
    </w:p>
    <w:p w:rsidR="00EC1645" w:rsidRDefault="00875604">
      <w:pPr>
        <w:pStyle w:val="Szvegtrzs1"/>
        <w:numPr>
          <w:ilvl w:val="0"/>
          <w:numId w:val="1"/>
        </w:numPr>
        <w:tabs>
          <w:tab w:val="left" w:pos="755"/>
        </w:tabs>
        <w:ind w:left="760" w:hanging="360"/>
        <w:jc w:val="both"/>
      </w:pPr>
      <w:r>
        <w:t>a foglalkoztatóval foglalkoztatásra irányuló jogviszonyt létesíteni kívánó olyan személy, aki esetében e jogviszony létesítésére vonatkozó eljárás megkezdődött;</w:t>
      </w:r>
    </w:p>
    <w:p w:rsidR="00EC1645" w:rsidRDefault="00875604">
      <w:pPr>
        <w:pStyle w:val="Szvegtrzs1"/>
        <w:numPr>
          <w:ilvl w:val="0"/>
          <w:numId w:val="1"/>
        </w:numPr>
        <w:tabs>
          <w:tab w:val="left" w:pos="755"/>
        </w:tabs>
        <w:ind w:firstLine="400"/>
        <w:jc w:val="both"/>
      </w:pPr>
      <w:r>
        <w:t>az egyéni vállalkozó, az egyéni cég, ha a foglalkoztatóval szerződéses kapcsolatban áll;</w:t>
      </w:r>
    </w:p>
    <w:p w:rsidR="00EC1645" w:rsidRDefault="00875604">
      <w:pPr>
        <w:pStyle w:val="Szvegtrzs1"/>
        <w:numPr>
          <w:ilvl w:val="0"/>
          <w:numId w:val="1"/>
        </w:numPr>
        <w:tabs>
          <w:tab w:val="left" w:pos="755"/>
        </w:tabs>
        <w:ind w:left="760" w:hanging="360"/>
        <w:jc w:val="both"/>
      </w:pPr>
      <w:r>
        <w:t>a foglalkoztató tekintetében tulajdonosi részesedéssel rendelkező személy, valamint a foglalkoztató ügyviteli, ügyvezető, illetve felügyelő testületéhez tartozó személy, ideértve a nem ügyvezető tagot is;</w:t>
      </w:r>
    </w:p>
    <w:p w:rsidR="00EC1645" w:rsidRDefault="00875604">
      <w:pPr>
        <w:pStyle w:val="Szvegtrzs1"/>
        <w:numPr>
          <w:ilvl w:val="0"/>
          <w:numId w:val="1"/>
        </w:numPr>
        <w:tabs>
          <w:tab w:val="left" w:pos="755"/>
        </w:tabs>
        <w:ind w:left="760" w:hanging="360"/>
        <w:jc w:val="both"/>
      </w:pPr>
      <w:r>
        <w:t>a foglalkoztatóval szerződéses kapcsolat létesítésére vonatkozó eljárást megkezdett, szerződéses kapcsolatban álló vagy szerződéses kapcsolatban állt vállalkozó, alvállalkozó, beszállító, illetve megbízott felügyelete és irányítása alatt álló személy;</w:t>
      </w:r>
    </w:p>
    <w:p w:rsidR="00EC1645" w:rsidRDefault="00875604">
      <w:pPr>
        <w:pStyle w:val="Szvegtrzs1"/>
        <w:numPr>
          <w:ilvl w:val="0"/>
          <w:numId w:val="1"/>
        </w:numPr>
        <w:tabs>
          <w:tab w:val="left" w:pos="755"/>
        </w:tabs>
        <w:spacing w:line="264" w:lineRule="auto"/>
        <w:ind w:firstLine="400"/>
        <w:jc w:val="both"/>
      </w:pPr>
      <w:r>
        <w:t>a foglalkoztatónál tevékenységet végző gyakornok és önkéntes;</w:t>
      </w:r>
    </w:p>
    <w:p w:rsidR="00EC1645" w:rsidRDefault="00875604">
      <w:pPr>
        <w:pStyle w:val="Szvegtrzs1"/>
        <w:numPr>
          <w:ilvl w:val="0"/>
          <w:numId w:val="1"/>
        </w:numPr>
        <w:tabs>
          <w:tab w:val="left" w:pos="755"/>
        </w:tabs>
        <w:ind w:left="760" w:hanging="360"/>
        <w:jc w:val="both"/>
      </w:pPr>
      <w:r>
        <w:t xml:space="preserve">a foglalkoztatóval a </w:t>
      </w:r>
      <w:proofErr w:type="spellStart"/>
      <w:r>
        <w:t>Panasztv</w:t>
      </w:r>
      <w:proofErr w:type="spellEnd"/>
      <w:r>
        <w:t xml:space="preserve">. 20. § (3) </w:t>
      </w:r>
      <w:proofErr w:type="spellStart"/>
      <w:r>
        <w:t>bek</w:t>
      </w:r>
      <w:proofErr w:type="spellEnd"/>
      <w:r>
        <w:t>. a), b) vagy d) pont szerinti jogviszonyt vagy szerződéses kapcsolatot létesíteni kívánó olyan személy, aki esetében e jogviszony vagy szerződéses kapcsolat létesítésére vonatkozó eljárás megkezdődött;</w:t>
      </w:r>
    </w:p>
    <w:p w:rsidR="00EC1645" w:rsidRDefault="00875604">
      <w:pPr>
        <w:pStyle w:val="Szvegtrzs1"/>
        <w:numPr>
          <w:ilvl w:val="0"/>
          <w:numId w:val="1"/>
        </w:numPr>
        <w:tabs>
          <w:tab w:val="left" w:pos="755"/>
        </w:tabs>
        <w:spacing w:after="240"/>
        <w:ind w:left="760" w:hanging="360"/>
        <w:jc w:val="both"/>
      </w:pPr>
      <w:r>
        <w:t xml:space="preserve">az a személy, akinek a </w:t>
      </w:r>
      <w:proofErr w:type="spellStart"/>
      <w:r>
        <w:t>Panasztv</w:t>
      </w:r>
      <w:proofErr w:type="spellEnd"/>
      <w:r>
        <w:t xml:space="preserve">. 20. § (3) </w:t>
      </w:r>
      <w:proofErr w:type="spellStart"/>
      <w:r>
        <w:t>bek</w:t>
      </w:r>
      <w:proofErr w:type="spellEnd"/>
      <w:r>
        <w:t>. a), b) vagy d) pont szerinti jogviszonya vagy szerződéses kapcsolata a foglalkoztatóval megszűnt.</w:t>
      </w:r>
    </w:p>
    <w:p w:rsidR="00EC1645" w:rsidRDefault="00875604">
      <w:pPr>
        <w:pStyle w:val="Cmsor20"/>
        <w:keepNext/>
        <w:keepLines/>
        <w:jc w:val="both"/>
      </w:pPr>
      <w:bookmarkStart w:id="3" w:name="bookmark6"/>
      <w:r>
        <w:t>Hol és milyen formában lehet bejelentést tenni?</w:t>
      </w:r>
      <w:bookmarkEnd w:id="3"/>
    </w:p>
    <w:p w:rsidR="00EC1645" w:rsidRDefault="00875604">
      <w:pPr>
        <w:pStyle w:val="Szvegtrzs1"/>
        <w:jc w:val="both"/>
      </w:pPr>
      <w:r>
        <w:t>A bejelentéseket a Tankerületi Központ az alábbi elérhetőségeken fogadja:</w:t>
      </w:r>
    </w:p>
    <w:p w:rsidR="00EC1645" w:rsidRPr="00AD5D0B" w:rsidRDefault="00875604">
      <w:pPr>
        <w:pStyle w:val="Szvegtrzs1"/>
        <w:jc w:val="both"/>
        <w:rPr>
          <w:rStyle w:val="Hiperhivatkozs"/>
          <w:b/>
          <w:bCs/>
          <w:iCs/>
          <w:u w:val="none"/>
          <w:lang w:val="en-US" w:eastAsia="en-US" w:bidi="en-US"/>
        </w:rPr>
      </w:pPr>
      <w:r>
        <w:t>E-mail</w:t>
      </w:r>
      <w:r w:rsidR="001D6BBF">
        <w:t>en</w:t>
      </w:r>
      <w:r>
        <w:t>:</w:t>
      </w:r>
      <w:hyperlink r:id="rId7" w:history="1">
        <w:r w:rsidR="00AD5D0B" w:rsidRPr="002C4FCD">
          <w:rPr>
            <w:rStyle w:val="Hiperhivatkozs"/>
            <w:b/>
            <w:bCs/>
            <w:iCs/>
            <w:lang w:val="en-US" w:eastAsia="en-US" w:bidi="en-US"/>
          </w:rPr>
          <w:t xml:space="preserve"> visszaeles.bejelentes.mateszalka@kk.gov.hu </w:t>
        </w:r>
      </w:hyperlink>
    </w:p>
    <w:p w:rsidR="001D6BBF" w:rsidRDefault="00875604">
      <w:pPr>
        <w:pStyle w:val="Szvegtrzs1"/>
        <w:jc w:val="both"/>
      </w:pPr>
      <w:r>
        <w:t xml:space="preserve">Postai úton: </w:t>
      </w:r>
      <w:r w:rsidR="001D6BBF">
        <w:tab/>
      </w:r>
      <w:r>
        <w:t xml:space="preserve">„Visszaélés-bejelentő rendszer” s.k. felbontásra, </w:t>
      </w:r>
    </w:p>
    <w:p w:rsidR="00EC1645" w:rsidRDefault="00C46970" w:rsidP="001D6BBF">
      <w:pPr>
        <w:pStyle w:val="Szvegtrzs1"/>
        <w:ind w:left="708" w:firstLine="708"/>
        <w:jc w:val="both"/>
      </w:pPr>
      <w:r>
        <w:t>Mátészalkai</w:t>
      </w:r>
      <w:r w:rsidR="00875604">
        <w:t xml:space="preserve"> Tankerületi Központ, </w:t>
      </w:r>
      <w:r>
        <w:t>4700 Mátészalka, Kölcsey utca 10.</w:t>
      </w:r>
    </w:p>
    <w:p w:rsidR="00EC1645" w:rsidRDefault="00875604">
      <w:pPr>
        <w:pStyle w:val="Szvegtrzs1"/>
        <w:jc w:val="both"/>
      </w:pPr>
      <w:r>
        <w:t>Személyesen</w:t>
      </w:r>
      <w:r w:rsidR="001D6BBF">
        <w:t>,</w:t>
      </w:r>
      <w:r>
        <w:t xml:space="preserve"> szóban: a bejelent</w:t>
      </w:r>
      <w:r w:rsidR="0039195A">
        <w:t xml:space="preserve">és személyes megtételére a +36 </w:t>
      </w:r>
      <w:r w:rsidR="00C46970">
        <w:t>44</w:t>
      </w:r>
      <w:r w:rsidR="0039195A">
        <w:t xml:space="preserve"> 795 </w:t>
      </w:r>
      <w:r>
        <w:t>2</w:t>
      </w:r>
      <w:r w:rsidR="00C46970">
        <w:t>18</w:t>
      </w:r>
      <w:r>
        <w:t xml:space="preserve"> telefon</w:t>
      </w:r>
      <w:r w:rsidR="0065302A">
        <w:t>számon van lehetőség</w:t>
      </w:r>
      <w:r>
        <w:t xml:space="preserve"> időpontot egyeztetni.</w:t>
      </w:r>
    </w:p>
    <w:p w:rsidR="001D6BBF" w:rsidRDefault="001D6BBF">
      <w:pPr>
        <w:pStyle w:val="Szvegtrzs1"/>
        <w:jc w:val="both"/>
      </w:pPr>
    </w:p>
    <w:p w:rsidR="00EC1645" w:rsidRDefault="00875604">
      <w:pPr>
        <w:pStyle w:val="Szvegtrzs1"/>
        <w:spacing w:after="260"/>
        <w:jc w:val="both"/>
      </w:pPr>
      <w:r>
        <w:t xml:space="preserve">A </w:t>
      </w:r>
      <w:r w:rsidR="00C46970">
        <w:t>Mátészalkai</w:t>
      </w:r>
      <w:r>
        <w:t xml:space="preserve"> Tankerületi Központ a belső visszaélés-bejelentési rendszer keretében nem használ rögzített rendszereket (rögzített telefonvonalat vagy egyéb rögzített hangüzenetküldő rendszert).</w:t>
      </w:r>
    </w:p>
    <w:p w:rsidR="00EC1645" w:rsidRDefault="00875604">
      <w:pPr>
        <w:pStyle w:val="Cmsor20"/>
        <w:keepNext/>
        <w:keepLines/>
        <w:jc w:val="both"/>
      </w:pPr>
      <w:bookmarkStart w:id="4" w:name="bookmark8"/>
      <w:r>
        <w:t>Milyen adatokat kell megadni?</w:t>
      </w:r>
      <w:bookmarkEnd w:id="4"/>
    </w:p>
    <w:p w:rsidR="00EC1645" w:rsidRDefault="00875604">
      <w:pPr>
        <w:pStyle w:val="Szvegtrzs1"/>
        <w:jc w:val="both"/>
      </w:pPr>
      <w:r>
        <w:t>A belső visszaélés-bejelentési rendszer keretei között</w:t>
      </w:r>
    </w:p>
    <w:p w:rsidR="00EC1645" w:rsidRDefault="00875604">
      <w:pPr>
        <w:pStyle w:val="Szvegtrzs1"/>
        <w:numPr>
          <w:ilvl w:val="0"/>
          <w:numId w:val="2"/>
        </w:numPr>
        <w:tabs>
          <w:tab w:val="left" w:pos="336"/>
        </w:tabs>
        <w:jc w:val="both"/>
      </w:pPr>
      <w:r>
        <w:t>a bejelentőnek,</w:t>
      </w:r>
    </w:p>
    <w:p w:rsidR="00EC1645" w:rsidRDefault="00875604">
      <w:pPr>
        <w:pStyle w:val="Szvegtrzs1"/>
        <w:numPr>
          <w:ilvl w:val="0"/>
          <w:numId w:val="2"/>
        </w:numPr>
        <w:tabs>
          <w:tab w:val="left" w:pos="360"/>
        </w:tabs>
        <w:jc w:val="both"/>
      </w:pPr>
      <w:r>
        <w:t>annak a személynek, akinek a magatartása vagy mulasztása a bejelentésre okot adott, és</w:t>
      </w:r>
    </w:p>
    <w:p w:rsidR="00EC1645" w:rsidRDefault="00875604">
      <w:pPr>
        <w:pStyle w:val="Szvegtrzs1"/>
        <w:numPr>
          <w:ilvl w:val="0"/>
          <w:numId w:val="2"/>
        </w:numPr>
        <w:tabs>
          <w:tab w:val="left" w:pos="336"/>
        </w:tabs>
        <w:jc w:val="both"/>
      </w:pPr>
      <w:r>
        <w:t>annak a személynek, aki a bejelentésben foglaltakról érdemi információval rendelkezhet,</w:t>
      </w:r>
    </w:p>
    <w:p w:rsidR="00EC1645" w:rsidRDefault="00875604">
      <w:pPr>
        <w:pStyle w:val="Szvegtrzs1"/>
        <w:jc w:val="both"/>
      </w:pPr>
      <w:proofErr w:type="gramStart"/>
      <w:r>
        <w:lastRenderedPageBreak/>
        <w:t>a</w:t>
      </w:r>
      <w:proofErr w:type="gramEnd"/>
      <w:r>
        <w:t xml:space="preserve"> bejelentés kivizsgálásához elengedhetetlenül szükséges személyes adatai kizárólag a bejelentés kivizsgálása és a bejelentés tárgyát képező magatartás orvoslása vagy megszüntetése céljából kezelhetők, és a bejelentés kivizsgálásában közreműködő külső</w:t>
      </w:r>
      <w:r w:rsidR="00E56766">
        <w:t xml:space="preserve"> szervezet részére </w:t>
      </w:r>
      <w:proofErr w:type="spellStart"/>
      <w:r w:rsidR="00E56766">
        <w:t>továbbíthatóa</w:t>
      </w:r>
      <w:r>
        <w:t>k</w:t>
      </w:r>
      <w:proofErr w:type="spellEnd"/>
      <w:r>
        <w:t>.</w:t>
      </w:r>
    </w:p>
    <w:p w:rsidR="00EC1645" w:rsidRDefault="00875604" w:rsidP="001D6BBF">
      <w:pPr>
        <w:pStyle w:val="Szvegtrzs1"/>
        <w:tabs>
          <w:tab w:val="left" w:pos="423"/>
        </w:tabs>
        <w:jc w:val="both"/>
      </w:pPr>
      <w:r>
        <w:t>A belső visszaélés-bejelentési rendszer keretei között kezelt adatok közül haladéktalanul törölni kell a fentiek hatálya alá nem tartozó személyes adatokat.</w:t>
      </w:r>
    </w:p>
    <w:p w:rsidR="00EC1645" w:rsidRDefault="00875604">
      <w:pPr>
        <w:pStyle w:val="Szvegtrzs1"/>
        <w:spacing w:after="260"/>
        <w:jc w:val="both"/>
      </w:pPr>
      <w:r>
        <w:t>A bejelentés kivizsgálása mellőzhető, ha a bejelentést azono</w:t>
      </w:r>
      <w:r w:rsidR="001A5DB3">
        <w:t>síthatatlan bejelentő tette meg.</w:t>
      </w:r>
    </w:p>
    <w:p w:rsidR="00EC1645" w:rsidRDefault="00875604">
      <w:pPr>
        <w:pStyle w:val="Cmsor20"/>
        <w:keepNext/>
        <w:keepLines/>
        <w:jc w:val="both"/>
      </w:pPr>
      <w:bookmarkStart w:id="5" w:name="bookmark10"/>
      <w:r>
        <w:t>Milyen költségei vannak az eljárásnak?</w:t>
      </w:r>
      <w:bookmarkEnd w:id="5"/>
    </w:p>
    <w:p w:rsidR="00EC1645" w:rsidRDefault="00875604">
      <w:pPr>
        <w:pStyle w:val="Szvegtrzs1"/>
        <w:spacing w:after="260"/>
        <w:jc w:val="both"/>
      </w:pPr>
      <w:r>
        <w:t>Az eljárás költség- és illetékmentes.</w:t>
      </w:r>
    </w:p>
    <w:p w:rsidR="00EC1645" w:rsidRDefault="00875604">
      <w:pPr>
        <w:pStyle w:val="Cmsor20"/>
        <w:keepNext/>
        <w:keepLines/>
        <w:jc w:val="both"/>
      </w:pPr>
      <w:bookmarkStart w:id="6" w:name="bookmark12"/>
      <w:r>
        <w:t>Az ügyintézés határideje:</w:t>
      </w:r>
      <w:bookmarkEnd w:id="6"/>
    </w:p>
    <w:p w:rsidR="00EC1645" w:rsidRDefault="00875604">
      <w:pPr>
        <w:pStyle w:val="Szvegtrzs1"/>
        <w:spacing w:after="260"/>
        <w:jc w:val="both"/>
      </w:pPr>
      <w:r>
        <w:t>Az ügyintézési határidő a bejelentés beérkezésétől számított harminc nap. Indokolt esetben az ügyintézés határideje meghosszabbítható - a bejelentőnek a kivizsgálás várható időpontjáról és a kivizsgálás meghosszabbítása indokairól szóló egyidejű tájékoztatása mellett -, a teljes ügyintézési határidő ebben az esetben sem haladhatja meg a három hónapot.</w:t>
      </w:r>
    </w:p>
    <w:p w:rsidR="00EC1645" w:rsidRDefault="00875604">
      <w:pPr>
        <w:pStyle w:val="Cmsor20"/>
        <w:keepNext/>
        <w:keepLines/>
        <w:jc w:val="both"/>
      </w:pPr>
      <w:bookmarkStart w:id="7" w:name="bookmark14"/>
      <w:r>
        <w:t>Milyen esetekben mellőzhető a bejelentés kivizsgálása?</w:t>
      </w:r>
      <w:bookmarkEnd w:id="7"/>
    </w:p>
    <w:p w:rsidR="00EC1645" w:rsidRDefault="00875604">
      <w:pPr>
        <w:pStyle w:val="Szvegtrzs1"/>
        <w:jc w:val="both"/>
      </w:pPr>
      <w:r>
        <w:t>A bejelentés kivizsgálása mellőzhető, ha</w:t>
      </w:r>
    </w:p>
    <w:p w:rsidR="00EC1645" w:rsidRDefault="00875604">
      <w:pPr>
        <w:pStyle w:val="Szvegtrzs1"/>
        <w:numPr>
          <w:ilvl w:val="0"/>
          <w:numId w:val="4"/>
        </w:numPr>
        <w:tabs>
          <w:tab w:val="left" w:pos="341"/>
        </w:tabs>
        <w:jc w:val="both"/>
      </w:pPr>
      <w:r>
        <w:t>a bejelentést azonosíthatatlan bejelentő tette meg,</w:t>
      </w:r>
    </w:p>
    <w:p w:rsidR="00EC1645" w:rsidRDefault="00875604">
      <w:pPr>
        <w:pStyle w:val="Szvegtrzs1"/>
        <w:numPr>
          <w:ilvl w:val="0"/>
          <w:numId w:val="4"/>
        </w:numPr>
        <w:tabs>
          <w:tab w:val="left" w:pos="360"/>
        </w:tabs>
        <w:jc w:val="both"/>
      </w:pPr>
      <w:r>
        <w:t xml:space="preserve">a bejelentést nem a </w:t>
      </w:r>
      <w:proofErr w:type="spellStart"/>
      <w:r>
        <w:t>Panasztv</w:t>
      </w:r>
      <w:proofErr w:type="spellEnd"/>
      <w:r>
        <w:t>. 20. § (2) és (3) bekezdése szerint erre jogosult személy tette meg,</w:t>
      </w:r>
    </w:p>
    <w:p w:rsidR="00EC1645" w:rsidRDefault="00875604">
      <w:pPr>
        <w:pStyle w:val="Szvegtrzs1"/>
        <w:numPr>
          <w:ilvl w:val="0"/>
          <w:numId w:val="4"/>
        </w:numPr>
        <w:tabs>
          <w:tab w:val="left" w:pos="341"/>
        </w:tabs>
        <w:jc w:val="both"/>
      </w:pPr>
      <w:r>
        <w:t>a bejelentés ugyanazon bejelentő által tett ismételt, a korábbi bejelentéssel azonos tartalmú bejelentés, illetve</w:t>
      </w:r>
    </w:p>
    <w:p w:rsidR="00EC1645" w:rsidRDefault="00875604">
      <w:pPr>
        <w:pStyle w:val="Szvegtrzs1"/>
        <w:numPr>
          <w:ilvl w:val="0"/>
          <w:numId w:val="4"/>
        </w:numPr>
        <w:tabs>
          <w:tab w:val="left" w:pos="379"/>
        </w:tabs>
        <w:spacing w:after="260"/>
        <w:jc w:val="both"/>
      </w:pPr>
      <w:r>
        <w:t>a közérdek vagy a nyomós magánérdek sérelme a bejelentésben érintett természetes személy, illetve jogi személy (a továbbiakban együtt: bejelentésben érintett személy) jogainak a bejelentés kivizsgálásából eredő korlátozásával nem állna arányban.</w:t>
      </w:r>
    </w:p>
    <w:p w:rsidR="00EC1645" w:rsidRDefault="00875604">
      <w:pPr>
        <w:pStyle w:val="Cmsor20"/>
        <w:keepNext/>
        <w:keepLines/>
        <w:jc w:val="both"/>
      </w:pPr>
      <w:bookmarkStart w:id="8" w:name="bookmark16"/>
      <w:r>
        <w:t>Bejelentővédelem:</w:t>
      </w:r>
      <w:bookmarkEnd w:id="8"/>
    </w:p>
    <w:p w:rsidR="00EC1645" w:rsidRDefault="00875604">
      <w:pPr>
        <w:pStyle w:val="Szvegtrzs1"/>
        <w:jc w:val="both"/>
      </w:pPr>
      <w:r>
        <w:t>A bejelentő és a bejelentésben érintett, valamint a bejelentésben foglaltakról érdemi információval rendelkező személy személyazonosságát, személyes adatait a Tankerületi Központ a vizsgálat valamennyi szakaszában bizalmasan kezeli.</w:t>
      </w:r>
    </w:p>
    <w:p w:rsidR="00EC1645" w:rsidRDefault="00875604">
      <w:pPr>
        <w:pStyle w:val="Szvegtrzs1"/>
        <w:jc w:val="both"/>
      </w:pPr>
      <w:r>
        <w:t>A jóhiszemű és jogszerű bejelentést tévő személlyel vagy vele kapcsolatban álló személlyel (így különösen a bejelentő családtagja, munkatársa vagy a bejelentés megtételében a bejelentő részére segítséget nyújtó személy) szemben nem alkalmazható semmiféle hátrányos megkülönböztetés vagy intézkedés, szankció, a jogszerűen megtett bejelentésért felelősségre nem vonható.</w:t>
      </w:r>
    </w:p>
    <w:p w:rsidR="00EC1645" w:rsidRDefault="00875604">
      <w:pPr>
        <w:pStyle w:val="Szvegtrzs1"/>
        <w:jc w:val="both"/>
      </w:pPr>
      <w:r>
        <w:t>A bejelentés jogszerű megtételét akadályozó vagy akadályozni próbáló, valamint a jogszerű bejelentővel vagy vele kapcsolatban álló személlyel szemben hátrányosan eljáró személy szabálysértést követ el.</w:t>
      </w:r>
    </w:p>
    <w:p w:rsidR="00EC1645" w:rsidRDefault="00875604">
      <w:pPr>
        <w:pStyle w:val="Szvegtrzs1"/>
        <w:spacing w:after="260"/>
        <w:jc w:val="both"/>
      </w:pPr>
      <w:r>
        <w:t xml:space="preserve">A bejelentővédelem nem illeti meg a bejelentőt a </w:t>
      </w:r>
      <w:proofErr w:type="spellStart"/>
      <w:r>
        <w:t>Panasztv</w:t>
      </w:r>
      <w:proofErr w:type="spellEnd"/>
      <w:r>
        <w:t>. 48. §. (2) bekezdésében foglalt esetekben.</w:t>
      </w:r>
    </w:p>
    <w:p w:rsidR="00EC1645" w:rsidRDefault="00875604">
      <w:pPr>
        <w:pStyle w:val="Cmsor20"/>
        <w:keepNext/>
        <w:keepLines/>
        <w:jc w:val="both"/>
      </w:pPr>
      <w:bookmarkStart w:id="9" w:name="bookmark18"/>
      <w:r>
        <w:t>Tájékoztatás az eljárásról:</w:t>
      </w:r>
      <w:bookmarkEnd w:id="9"/>
    </w:p>
    <w:p w:rsidR="00EC1645" w:rsidRDefault="00875604">
      <w:pPr>
        <w:pStyle w:val="Szvegtrzs1"/>
        <w:jc w:val="both"/>
      </w:pPr>
      <w:r>
        <w:t>A bejelentést jóhiszeműen kell megtenni, a rosszhiszemű bejelentés jogi következményt vonhat maga után.</w:t>
      </w:r>
    </w:p>
    <w:p w:rsidR="00EC1645" w:rsidRDefault="00875604">
      <w:pPr>
        <w:pStyle w:val="Szvegtrzs1"/>
        <w:spacing w:after="260"/>
        <w:jc w:val="both"/>
      </w:pPr>
      <w:r>
        <w:t xml:space="preserve">A belső visszaélés-bejelentési rendszert a foglalkoztatónál egy erre a célra kijelölt, </w:t>
      </w:r>
      <w:r>
        <w:rPr>
          <w:i/>
          <w:iCs/>
        </w:rPr>
        <w:t>pártatlan</w:t>
      </w:r>
      <w:r>
        <w:t xml:space="preserve"> személy vagy szervezeti egység működteti.</w:t>
      </w:r>
    </w:p>
    <w:p w:rsidR="00EC1645" w:rsidRDefault="00EB4B40" w:rsidP="00EB4B40">
      <w:pPr>
        <w:pStyle w:val="Szvegtrzs1"/>
      </w:pPr>
      <w:r>
        <w:rPr>
          <w:i/>
          <w:iCs/>
        </w:rPr>
        <w:t>A bejelentések fogadása:</w:t>
      </w:r>
    </w:p>
    <w:p w:rsidR="00EC1645" w:rsidRDefault="00875604">
      <w:pPr>
        <w:pStyle w:val="Szvegtrzs1"/>
        <w:jc w:val="both"/>
      </w:pPr>
      <w:r>
        <w:t xml:space="preserve">A Tankerületi Központ a belső visszaélés-bejelentési rendszer keretében </w:t>
      </w:r>
      <w:r>
        <w:rPr>
          <w:i/>
          <w:iCs/>
        </w:rPr>
        <w:t>nem használ rögzített rendszereket.</w:t>
      </w:r>
    </w:p>
    <w:p w:rsidR="00EC1645" w:rsidRDefault="00875604">
      <w:pPr>
        <w:pStyle w:val="Szvegtrzs1"/>
        <w:jc w:val="both"/>
      </w:pPr>
      <w:r>
        <w:t>A belső visszaélés-bejelentési rendszer működtetője a szóbeli bejelentést írásba foglalja és - annak ellenőrzésére, helyesbítésére, aláírással történő elfogadására vonatkozó lehetőség biztosítása mellett - a bejelentő számára másodpéldányban átadja.</w:t>
      </w:r>
    </w:p>
    <w:p w:rsidR="00EC1645" w:rsidRDefault="00875604">
      <w:pPr>
        <w:pStyle w:val="Szvegtrzs1"/>
        <w:jc w:val="both"/>
      </w:pPr>
      <w:r>
        <w:t>Ha a bejelentő személyesen teszi meg a bejelentését, a belső visszaélés-bejelentési rendszer működtetője a szóbeli bejelentést</w:t>
      </w:r>
    </w:p>
    <w:p w:rsidR="00EC1645" w:rsidRDefault="00875604">
      <w:pPr>
        <w:pStyle w:val="Szvegtrzs1"/>
        <w:numPr>
          <w:ilvl w:val="0"/>
          <w:numId w:val="5"/>
        </w:numPr>
        <w:tabs>
          <w:tab w:val="left" w:pos="298"/>
        </w:tabs>
        <w:jc w:val="both"/>
      </w:pPr>
      <w:r>
        <w:t>- a személyes adatok védelmére vonatkozó előírások szerint megtett tájékoztatást követően - tartós és visszakereshető formában rögzíti, vagy</w:t>
      </w:r>
    </w:p>
    <w:p w:rsidR="00EC1645" w:rsidRDefault="00875604">
      <w:pPr>
        <w:pStyle w:val="Szvegtrzs1"/>
        <w:numPr>
          <w:ilvl w:val="0"/>
          <w:numId w:val="5"/>
        </w:numPr>
        <w:tabs>
          <w:tab w:val="left" w:pos="318"/>
        </w:tabs>
        <w:jc w:val="both"/>
      </w:pPr>
      <w:r>
        <w:t>írásba foglalja és - annak ellenőrzésére, helyesbítésére, aláírással történő elfogadására vonatkozó lehetőség biztosítása mellett - a bejelentő számára másodpéldányban átadja.</w:t>
      </w:r>
    </w:p>
    <w:p w:rsidR="00EC1645" w:rsidRDefault="00875604">
      <w:pPr>
        <w:pStyle w:val="Szvegtrzs1"/>
        <w:jc w:val="both"/>
      </w:pPr>
      <w:r>
        <w:lastRenderedPageBreak/>
        <w:t>A belső visszaélés-bejelentési rendszer működtetője a szóbeli bejelentés írásba foglalása során teljes és pontos jegyzőkönyvet köteles készíteni.</w:t>
      </w:r>
    </w:p>
    <w:p w:rsidR="00EC1645" w:rsidRDefault="00875604">
      <w:pPr>
        <w:pStyle w:val="Szvegtrzs1"/>
        <w:spacing w:after="240"/>
        <w:jc w:val="both"/>
      </w:pPr>
      <w:r>
        <w:t>Szóbeli bejelentés esetén a bejelentő figyelmét fel kell hívni a rosszhiszemű bejelentés következményeire, a bejelentés kivizsgálására irányadó eljárási szabályokra és arra, hogy személyazonosságát - ha az annak megállapításához szükséges adatokat megadja - a vizsgálat valamennyi szakaszában bizalmasan kezelik.</w:t>
      </w:r>
    </w:p>
    <w:p w:rsidR="00EC1645" w:rsidRDefault="00EB4B40" w:rsidP="00EB4B40">
      <w:pPr>
        <w:pStyle w:val="Szvegtrzs1"/>
      </w:pPr>
      <w:r>
        <w:rPr>
          <w:i/>
          <w:iCs/>
        </w:rPr>
        <w:t>Az eljárás lefolytatása:</w:t>
      </w:r>
    </w:p>
    <w:p w:rsidR="00EC1645" w:rsidRDefault="00875604">
      <w:pPr>
        <w:pStyle w:val="Szvegtrzs1"/>
        <w:jc w:val="both"/>
      </w:pPr>
      <w:r>
        <w:t xml:space="preserve">A belső visszaélés-bejelentési rendszer működtetője a belső visszaélés-bejelentési rendszerben tett írásbeli bejelentés kézhezvételétől számított </w:t>
      </w:r>
      <w:r>
        <w:rPr>
          <w:i/>
          <w:iCs/>
        </w:rPr>
        <w:t>hét napon belül</w:t>
      </w:r>
      <w:r>
        <w:t xml:space="preserve"> a bejelentés megtételéről </w:t>
      </w:r>
      <w:r>
        <w:rPr>
          <w:i/>
          <w:iCs/>
        </w:rPr>
        <w:t xml:space="preserve">visszaigazolást </w:t>
      </w:r>
      <w:r>
        <w:t xml:space="preserve">küld a bejelentő számára. A visszaigazolás keretében a bejelentő részére </w:t>
      </w:r>
      <w:r>
        <w:rPr>
          <w:i/>
          <w:iCs/>
        </w:rPr>
        <w:t>általános tájékoztatást</w:t>
      </w:r>
      <w:r>
        <w:t xml:space="preserve"> kell nyújtani a </w:t>
      </w:r>
      <w:proofErr w:type="spellStart"/>
      <w:r>
        <w:t>Panasztv</w:t>
      </w:r>
      <w:proofErr w:type="spellEnd"/>
      <w:r>
        <w:t xml:space="preserve">. </w:t>
      </w:r>
      <w:proofErr w:type="gramStart"/>
      <w:r>
        <w:t>szerinti</w:t>
      </w:r>
      <w:proofErr w:type="gramEnd"/>
      <w:r>
        <w:t xml:space="preserve"> eljárási és adatkezelési szabályokról.</w:t>
      </w:r>
    </w:p>
    <w:p w:rsidR="00EC1645" w:rsidRDefault="00875604">
      <w:pPr>
        <w:pStyle w:val="Szvegtrzs1"/>
        <w:jc w:val="both"/>
      </w:pPr>
      <w:r>
        <w:t>A bejelentés kivizsgálása során a belső visszaélés-bejelentési rendszer működtetője kapcsolatot tart a bejelentővel, ennek keretében a bejelentés kiegészítésére, pontosítására, a tényállás tisztázására, valamint további információk rendelkezésre bocsátására hívhatja fel a bejelentőt.</w:t>
      </w:r>
    </w:p>
    <w:p w:rsidR="00EC1645" w:rsidRDefault="00875604">
      <w:pPr>
        <w:pStyle w:val="Szvegtrzs1"/>
        <w:jc w:val="both"/>
      </w:pPr>
      <w:r>
        <w:t>A bejelentés kivizsgálása során értékelni kell a bejelentésben foglalt körülmények helytállóságát, és meg kell hozni azokat az intézkedéseket, amelyek alkalmasak a visszaélések orvoslására.</w:t>
      </w:r>
    </w:p>
    <w:p w:rsidR="00EC1645" w:rsidRDefault="00875604">
      <w:pPr>
        <w:pStyle w:val="Szvegtrzs1"/>
        <w:jc w:val="both"/>
      </w:pPr>
      <w:r>
        <w:t>Ha a bejelentés alapján büntetőeljárás kezdeményezése indokolt, akkor intézkedni kell a feljelentés megtételéről.</w:t>
      </w:r>
    </w:p>
    <w:p w:rsidR="00EC1645" w:rsidRDefault="00875604">
      <w:pPr>
        <w:pStyle w:val="Szvegtrzs1"/>
        <w:jc w:val="both"/>
      </w:pPr>
      <w:r>
        <w:t>A belső visszaélés-bejelentési rendszer működtetője a bejelentés kivizsgálásáról vagy annak mellőzéséről és a mellőzés indokáról, a bejelentés kivizsgálásának az eredményéről, a megtett vagy tervezett intézkedésekről a bejelentőt írásban tájékoztatja.</w:t>
      </w:r>
    </w:p>
    <w:p w:rsidR="00EC1645" w:rsidRDefault="00875604">
      <w:pPr>
        <w:pStyle w:val="Szvegtrzs1"/>
        <w:jc w:val="both"/>
      </w:pPr>
      <w:r>
        <w:t>Az írásbeli tájékoztatás mellőzhető, ha a belső visszaélés-bejelentési rendszer működtetője a fentiekről a bejelentőt szóban tájékoztatta, aki a tájékoztatást tudomásul vette.</w:t>
      </w:r>
    </w:p>
    <w:p w:rsidR="00EC1645" w:rsidRDefault="00875604">
      <w:pPr>
        <w:pStyle w:val="Szvegtrzs1"/>
        <w:jc w:val="both"/>
      </w:pPr>
      <w:r>
        <w:t>A belső visszaélés-bejelentési rendszer működtetője világos és könnyen hozzáférhető információt nyújt a belső visszaélés-bejelentési rendszer működésére, a bejelentéssel kapcsolatos eljárásra, valamint az e törvény szerinti visszaélés-bejelentési rendszerekre és eljárásokra vonatkozóan.</w:t>
      </w:r>
    </w:p>
    <w:p w:rsidR="00EC1645" w:rsidRDefault="00875604">
      <w:pPr>
        <w:pStyle w:val="Szvegtrzs1"/>
        <w:spacing w:after="240"/>
        <w:jc w:val="both"/>
      </w:pPr>
      <w:r>
        <w:t xml:space="preserve">A bejelentésben érintett személyt a vizsgálat megkezdésekor részletesen tájékoztatni kell a bejelentésről, a személyes adatai védelmével kapcsolatban őt megillető jogairól, valamint az adatai kezelésére vonatkozó szabályokról. A tisztességes eljárás követelményének megfelelően biztosítani kell, hogy a bejelentésben érintett személy a bejelentéssel kapcsolatos álláspontját jogi képviselője útján is </w:t>
      </w:r>
      <w:proofErr w:type="spellStart"/>
      <w:r>
        <w:t>kifejtse</w:t>
      </w:r>
      <w:proofErr w:type="spellEnd"/>
      <w:r>
        <w:t>, és azt bizonyítékokkal támassza alá. A bejelentésben érintett személy tájékoztatására kivételesen, indokolt esetben később is sor kerülhet, ha az azonnali tájékoztatás meghiúsítaná a bejelentés kivizsgálását.</w:t>
      </w:r>
    </w:p>
    <w:p w:rsidR="00EC1645" w:rsidRDefault="00875604">
      <w:pPr>
        <w:pStyle w:val="Cmsor20"/>
        <w:keepNext/>
        <w:keepLines/>
        <w:jc w:val="both"/>
      </w:pPr>
      <w:bookmarkStart w:id="10" w:name="bookmark20"/>
      <w:r>
        <w:t>Adatkezelés</w:t>
      </w:r>
      <w:bookmarkEnd w:id="10"/>
    </w:p>
    <w:p w:rsidR="00EC1645" w:rsidRDefault="00875604">
      <w:pPr>
        <w:pStyle w:val="Szvegtrzs1"/>
        <w:spacing w:after="120"/>
        <w:jc w:val="both"/>
        <w:sectPr w:rsidR="00EC1645">
          <w:footerReference w:type="default" r:id="rId8"/>
          <w:headerReference w:type="first" r:id="rId9"/>
          <w:footerReference w:type="first" r:id="rId10"/>
          <w:pgSz w:w="11900" w:h="16840"/>
          <w:pgMar w:top="1076" w:right="1306" w:bottom="1484" w:left="1344" w:header="0" w:footer="3" w:gutter="0"/>
          <w:pgNumType w:start="1"/>
          <w:cols w:space="720"/>
          <w:noEndnote/>
          <w:titlePg/>
          <w:docGrid w:linePitch="360"/>
        </w:sectPr>
      </w:pPr>
      <w:r>
        <w:t>A részletes Adatkezelési tájékoztató jelen tájékoztató mellékletét képezi</w:t>
      </w:r>
      <w:r w:rsidR="00C46970">
        <w:t xml:space="preserve">.  </w:t>
      </w:r>
    </w:p>
    <w:p w:rsidR="00EC1645" w:rsidRDefault="00875604">
      <w:pPr>
        <w:pStyle w:val="Szvegtrzs1"/>
        <w:spacing w:after="440"/>
        <w:jc w:val="center"/>
        <w:rPr>
          <w:sz w:val="20"/>
          <w:szCs w:val="20"/>
        </w:rPr>
      </w:pPr>
      <w:r>
        <w:rPr>
          <w:b/>
          <w:bCs/>
          <w:sz w:val="20"/>
          <w:szCs w:val="20"/>
        </w:rPr>
        <w:lastRenderedPageBreak/>
        <w:t>ADATKEZELÉSI TÁJÉKOZTATÓ</w:t>
      </w:r>
      <w:r>
        <w:rPr>
          <w:b/>
          <w:bCs/>
          <w:sz w:val="20"/>
          <w:szCs w:val="20"/>
        </w:rPr>
        <w:br/>
        <w:t xml:space="preserve">a </w:t>
      </w:r>
      <w:r w:rsidR="00C46970">
        <w:rPr>
          <w:b/>
          <w:bCs/>
          <w:sz w:val="20"/>
          <w:szCs w:val="20"/>
        </w:rPr>
        <w:t>Mátészalkai</w:t>
      </w:r>
      <w:r w:rsidR="0039195A">
        <w:rPr>
          <w:b/>
          <w:bCs/>
          <w:sz w:val="20"/>
          <w:szCs w:val="20"/>
        </w:rPr>
        <w:t xml:space="preserve"> </w:t>
      </w:r>
      <w:r>
        <w:rPr>
          <w:b/>
          <w:bCs/>
          <w:sz w:val="20"/>
          <w:szCs w:val="20"/>
        </w:rPr>
        <w:t>Tankerületi Központnak a belső visszaélés-bejelentési rendszer működtetéséhez kapcsolódó</w:t>
      </w:r>
      <w:r>
        <w:rPr>
          <w:b/>
          <w:bCs/>
          <w:sz w:val="20"/>
          <w:szCs w:val="20"/>
        </w:rPr>
        <w:br/>
        <w:t>adatkezeléseihez</w:t>
      </w:r>
    </w:p>
    <w:p w:rsidR="00EC1645" w:rsidRDefault="00875604">
      <w:pPr>
        <w:pStyle w:val="Szvegtrzs1"/>
        <w:spacing w:after="220"/>
        <w:rPr>
          <w:sz w:val="20"/>
          <w:szCs w:val="20"/>
        </w:rPr>
      </w:pPr>
      <w:r>
        <w:rPr>
          <w:sz w:val="20"/>
          <w:szCs w:val="20"/>
        </w:rPr>
        <w:t>Az Európai Parlament és a Tanács (EU) 2016/279 rendelete (a továbbiakban: GDPR) 12. cikk (1) bekezdése értelmében az alábbiakban tájékoztatjuk Önt, mint érinte</w:t>
      </w:r>
      <w:r w:rsidR="006F104A">
        <w:rPr>
          <w:sz w:val="20"/>
          <w:szCs w:val="20"/>
        </w:rPr>
        <w:t xml:space="preserve">ttet a visszaélés-bejelentésében </w:t>
      </w:r>
      <w:r w:rsidR="00585186">
        <w:rPr>
          <w:sz w:val="20"/>
          <w:szCs w:val="20"/>
        </w:rPr>
        <w:t>tett</w:t>
      </w:r>
      <w:r>
        <w:rPr>
          <w:sz w:val="20"/>
          <w:szCs w:val="20"/>
        </w:rPr>
        <w:t xml:space="preserve"> adatai kezeléséről.</w:t>
      </w:r>
    </w:p>
    <w:p w:rsidR="00EC1645" w:rsidRPr="00335184" w:rsidRDefault="00875604">
      <w:pPr>
        <w:pStyle w:val="Szvegtrzs1"/>
        <w:rPr>
          <w:sz w:val="20"/>
          <w:szCs w:val="20"/>
        </w:rPr>
      </w:pPr>
      <w:r w:rsidRPr="00335184">
        <w:rPr>
          <w:b/>
          <w:bCs/>
          <w:sz w:val="20"/>
          <w:szCs w:val="20"/>
        </w:rPr>
        <w:t xml:space="preserve">Az Ön adatainak kezelője a </w:t>
      </w:r>
      <w:r w:rsidR="00C46970">
        <w:rPr>
          <w:b/>
          <w:bCs/>
          <w:sz w:val="20"/>
          <w:szCs w:val="20"/>
        </w:rPr>
        <w:t>Mátészalkai</w:t>
      </w:r>
      <w:r w:rsidRPr="00335184">
        <w:rPr>
          <w:b/>
          <w:bCs/>
          <w:sz w:val="20"/>
          <w:szCs w:val="20"/>
        </w:rPr>
        <w:t xml:space="preserve"> Tankerületi Központ </w:t>
      </w:r>
      <w:r w:rsidRPr="00335184">
        <w:rPr>
          <w:sz w:val="20"/>
          <w:szCs w:val="20"/>
        </w:rPr>
        <w:t xml:space="preserve">(székhely: </w:t>
      </w:r>
      <w:r w:rsidR="00C46970">
        <w:rPr>
          <w:sz w:val="20"/>
          <w:szCs w:val="20"/>
        </w:rPr>
        <w:t>4700 Mátészalka Kölcsey utca 10.</w:t>
      </w:r>
      <w:r w:rsidRPr="00335184">
        <w:rPr>
          <w:sz w:val="20"/>
          <w:szCs w:val="20"/>
        </w:rPr>
        <w:t xml:space="preserve"> telefon: +36 </w:t>
      </w:r>
      <w:r w:rsidR="0039195A" w:rsidRPr="00335184">
        <w:rPr>
          <w:sz w:val="20"/>
          <w:szCs w:val="20"/>
        </w:rPr>
        <w:t>4</w:t>
      </w:r>
      <w:r w:rsidR="00C46970">
        <w:rPr>
          <w:sz w:val="20"/>
          <w:szCs w:val="20"/>
        </w:rPr>
        <w:t>4</w:t>
      </w:r>
      <w:r w:rsidRPr="00335184">
        <w:rPr>
          <w:sz w:val="20"/>
          <w:szCs w:val="20"/>
        </w:rPr>
        <w:t xml:space="preserve"> 795 2</w:t>
      </w:r>
      <w:r w:rsidR="00C46970">
        <w:rPr>
          <w:sz w:val="20"/>
          <w:szCs w:val="20"/>
        </w:rPr>
        <w:t>18</w:t>
      </w:r>
      <w:r w:rsidRPr="00335184">
        <w:rPr>
          <w:sz w:val="20"/>
          <w:szCs w:val="20"/>
        </w:rPr>
        <w:t xml:space="preserve">, e-mail: </w:t>
      </w:r>
      <w:hyperlink r:id="rId11" w:history="1">
        <w:r w:rsidR="00C46970" w:rsidRPr="002C4FCD">
          <w:rPr>
            <w:rStyle w:val="Hiperhivatkozs"/>
            <w:sz w:val="20"/>
            <w:szCs w:val="20"/>
          </w:rPr>
          <w:t>mateszalka@kk.gov.hu</w:t>
        </w:r>
      </w:hyperlink>
      <w:r w:rsidRPr="00335184">
        <w:rPr>
          <w:sz w:val="20"/>
          <w:szCs w:val="20"/>
        </w:rPr>
        <w:t>)</w:t>
      </w:r>
    </w:p>
    <w:p w:rsidR="00EC1645" w:rsidRPr="00335184" w:rsidRDefault="00875604">
      <w:pPr>
        <w:pStyle w:val="Szvegtrzs1"/>
        <w:spacing w:after="220"/>
        <w:rPr>
          <w:sz w:val="20"/>
          <w:szCs w:val="20"/>
        </w:rPr>
      </w:pPr>
      <w:r w:rsidRPr="00335184">
        <w:rPr>
          <w:sz w:val="20"/>
          <w:szCs w:val="20"/>
        </w:rPr>
        <w:t xml:space="preserve">Az adatvédelmi tisztviselő elérhetőségei: (telefon: +36 </w:t>
      </w:r>
      <w:r w:rsidR="0039195A" w:rsidRPr="00335184">
        <w:rPr>
          <w:sz w:val="20"/>
          <w:szCs w:val="20"/>
        </w:rPr>
        <w:t>4</w:t>
      </w:r>
      <w:r w:rsidR="00C46970">
        <w:rPr>
          <w:sz w:val="20"/>
          <w:szCs w:val="20"/>
        </w:rPr>
        <w:t>4</w:t>
      </w:r>
      <w:r w:rsidRPr="00335184">
        <w:rPr>
          <w:sz w:val="20"/>
          <w:szCs w:val="20"/>
        </w:rPr>
        <w:t xml:space="preserve"> 795 2</w:t>
      </w:r>
      <w:r w:rsidR="00C46970">
        <w:rPr>
          <w:sz w:val="20"/>
          <w:szCs w:val="20"/>
        </w:rPr>
        <w:t>03</w:t>
      </w:r>
      <w:r w:rsidRPr="00335184">
        <w:rPr>
          <w:sz w:val="20"/>
          <w:szCs w:val="20"/>
        </w:rPr>
        <w:t xml:space="preserve">, e-mail: </w:t>
      </w:r>
      <w:r w:rsidR="0039195A" w:rsidRPr="00335184">
        <w:rPr>
          <w:rFonts w:ascii="Arial" w:hAnsi="Arial" w:cs="Arial"/>
          <w:color w:val="40403D"/>
          <w:sz w:val="20"/>
          <w:szCs w:val="20"/>
          <w:shd w:val="clear" w:color="auto" w:fill="FFFFFF"/>
        </w:rPr>
        <w:t> </w:t>
      </w:r>
      <w:hyperlink r:id="rId12" w:history="1">
        <w:r w:rsidR="00C46970" w:rsidRPr="002C4FCD">
          <w:rPr>
            <w:rStyle w:val="Hiperhivatkozs"/>
            <w:rFonts w:eastAsia="Arial"/>
            <w:sz w:val="20"/>
            <w:szCs w:val="20"/>
            <w:shd w:val="clear" w:color="auto" w:fill="FFFFFF"/>
          </w:rPr>
          <w:t>sarolta.vegh.galne@kk.gov.hu</w:t>
        </w:r>
      </w:hyperlink>
      <w:r w:rsidRPr="00335184">
        <w:rPr>
          <w:sz w:val="20"/>
          <w:szCs w:val="20"/>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11"/>
        <w:gridCol w:w="6014"/>
      </w:tblGrid>
      <w:tr w:rsidR="00EC1645">
        <w:trPr>
          <w:trHeight w:hRule="exact" w:val="1392"/>
          <w:jc w:val="center"/>
        </w:trPr>
        <w:tc>
          <w:tcPr>
            <w:tcW w:w="3211" w:type="dxa"/>
            <w:tcBorders>
              <w:top w:val="single" w:sz="4" w:space="0" w:color="auto"/>
              <w:left w:val="single" w:sz="4" w:space="0" w:color="auto"/>
            </w:tcBorders>
            <w:shd w:val="clear" w:color="auto" w:fill="auto"/>
          </w:tcPr>
          <w:p w:rsidR="00EC1645" w:rsidRDefault="00875604">
            <w:pPr>
              <w:pStyle w:val="Egyb0"/>
              <w:rPr>
                <w:sz w:val="20"/>
                <w:szCs w:val="20"/>
              </w:rPr>
            </w:pPr>
            <w:r>
              <w:rPr>
                <w:b/>
                <w:bCs/>
                <w:sz w:val="20"/>
                <w:szCs w:val="20"/>
              </w:rPr>
              <w:t>A kezelt személyes adatok köre</w:t>
            </w:r>
          </w:p>
        </w:tc>
        <w:tc>
          <w:tcPr>
            <w:tcW w:w="6014" w:type="dxa"/>
            <w:tcBorders>
              <w:top w:val="single" w:sz="4" w:space="0" w:color="auto"/>
              <w:left w:val="single" w:sz="4" w:space="0" w:color="auto"/>
              <w:right w:val="single" w:sz="4" w:space="0" w:color="auto"/>
            </w:tcBorders>
            <w:shd w:val="clear" w:color="auto" w:fill="auto"/>
            <w:vAlign w:val="bottom"/>
          </w:tcPr>
          <w:p w:rsidR="00EC1645" w:rsidRDefault="00875604">
            <w:pPr>
              <w:pStyle w:val="Egyb0"/>
              <w:numPr>
                <w:ilvl w:val="0"/>
                <w:numId w:val="6"/>
              </w:numPr>
              <w:tabs>
                <w:tab w:val="left" w:pos="796"/>
                <w:tab w:val="left" w:pos="801"/>
              </w:tabs>
              <w:ind w:firstLine="460"/>
              <w:rPr>
                <w:sz w:val="20"/>
                <w:szCs w:val="20"/>
              </w:rPr>
            </w:pPr>
            <w:r>
              <w:rPr>
                <w:sz w:val="20"/>
                <w:szCs w:val="20"/>
              </w:rPr>
              <w:t>név</w:t>
            </w:r>
          </w:p>
          <w:p w:rsidR="00EC1645" w:rsidRDefault="00875604">
            <w:pPr>
              <w:pStyle w:val="Egyb0"/>
              <w:numPr>
                <w:ilvl w:val="0"/>
                <w:numId w:val="6"/>
              </w:numPr>
              <w:tabs>
                <w:tab w:val="left" w:pos="801"/>
                <w:tab w:val="left" w:pos="815"/>
              </w:tabs>
              <w:ind w:firstLine="460"/>
              <w:jc w:val="both"/>
              <w:rPr>
                <w:sz w:val="20"/>
                <w:szCs w:val="20"/>
              </w:rPr>
            </w:pPr>
            <w:r>
              <w:rPr>
                <w:sz w:val="20"/>
                <w:szCs w:val="20"/>
              </w:rPr>
              <w:t>elérhetőség (e-mail, telefonszám, postacím)</w:t>
            </w:r>
          </w:p>
          <w:p w:rsidR="00EC1645" w:rsidRDefault="00875604">
            <w:pPr>
              <w:pStyle w:val="Egyb0"/>
              <w:numPr>
                <w:ilvl w:val="0"/>
                <w:numId w:val="6"/>
              </w:numPr>
              <w:tabs>
                <w:tab w:val="left" w:pos="801"/>
                <w:tab w:val="left" w:pos="810"/>
              </w:tabs>
              <w:ind w:firstLine="460"/>
              <w:jc w:val="both"/>
              <w:rPr>
                <w:sz w:val="20"/>
                <w:szCs w:val="20"/>
              </w:rPr>
            </w:pPr>
            <w:r>
              <w:rPr>
                <w:sz w:val="20"/>
                <w:szCs w:val="20"/>
              </w:rPr>
              <w:t>a bejelentő által rendelkezésre bocsátott, a bejelentés</w:t>
            </w:r>
          </w:p>
          <w:p w:rsidR="00EC1645" w:rsidRDefault="00875604">
            <w:pPr>
              <w:pStyle w:val="Egyb0"/>
              <w:ind w:left="820"/>
              <w:jc w:val="both"/>
              <w:rPr>
                <w:sz w:val="20"/>
                <w:szCs w:val="20"/>
              </w:rPr>
            </w:pPr>
            <w:r>
              <w:rPr>
                <w:sz w:val="20"/>
                <w:szCs w:val="20"/>
              </w:rPr>
              <w:t>kivizsgálásához elengedhetetlenül szükséges egyéb személyes adatok (a bejelentő, a bejelentéssel érintett és az egyéb érdemi információval rendelkező személy tekintetében)</w:t>
            </w:r>
          </w:p>
        </w:tc>
      </w:tr>
      <w:tr w:rsidR="00EC1645">
        <w:trPr>
          <w:trHeight w:hRule="exact" w:val="1392"/>
          <w:jc w:val="center"/>
        </w:trPr>
        <w:tc>
          <w:tcPr>
            <w:tcW w:w="3211" w:type="dxa"/>
            <w:tcBorders>
              <w:top w:val="single" w:sz="4" w:space="0" w:color="auto"/>
              <w:left w:val="single" w:sz="4" w:space="0" w:color="auto"/>
            </w:tcBorders>
            <w:shd w:val="clear" w:color="auto" w:fill="auto"/>
          </w:tcPr>
          <w:p w:rsidR="00EC1645" w:rsidRDefault="00875604">
            <w:pPr>
              <w:pStyle w:val="Egyb0"/>
              <w:rPr>
                <w:sz w:val="20"/>
                <w:szCs w:val="20"/>
              </w:rPr>
            </w:pPr>
            <w:r>
              <w:rPr>
                <w:b/>
                <w:bCs/>
                <w:sz w:val="20"/>
                <w:szCs w:val="20"/>
              </w:rPr>
              <w:t>Az adatkezelés célja</w:t>
            </w:r>
          </w:p>
        </w:tc>
        <w:tc>
          <w:tcPr>
            <w:tcW w:w="6014" w:type="dxa"/>
            <w:tcBorders>
              <w:top w:val="single" w:sz="4" w:space="0" w:color="auto"/>
              <w:left w:val="single" w:sz="4" w:space="0" w:color="auto"/>
              <w:right w:val="single" w:sz="4" w:space="0" w:color="auto"/>
            </w:tcBorders>
            <w:shd w:val="clear" w:color="auto" w:fill="auto"/>
            <w:vAlign w:val="bottom"/>
          </w:tcPr>
          <w:p w:rsidR="00EC1645" w:rsidRDefault="00875604">
            <w:pPr>
              <w:pStyle w:val="Egyb0"/>
              <w:jc w:val="both"/>
              <w:rPr>
                <w:sz w:val="20"/>
                <w:szCs w:val="20"/>
              </w:rPr>
            </w:pPr>
            <w:r>
              <w:rPr>
                <w:sz w:val="20"/>
                <w:szCs w:val="20"/>
              </w:rPr>
              <w:t xml:space="preserve">A panaszokról, a közérdekű bejelentésekről, valamint a visszaélések bejelentésével összefüggő szabályokról szóló 2023. évi XXV. törvényben (a továbbiakban: </w:t>
            </w:r>
            <w:proofErr w:type="spellStart"/>
            <w:r>
              <w:rPr>
                <w:sz w:val="20"/>
                <w:szCs w:val="20"/>
              </w:rPr>
              <w:t>Panasztv</w:t>
            </w:r>
            <w:proofErr w:type="spellEnd"/>
            <w:r>
              <w:rPr>
                <w:sz w:val="20"/>
                <w:szCs w:val="20"/>
              </w:rPr>
              <w:t>.) szabályozott visszaélés</w:t>
            </w:r>
            <w:r>
              <w:rPr>
                <w:sz w:val="20"/>
                <w:szCs w:val="20"/>
              </w:rPr>
              <w:softHyphen/>
              <w:t>bejelentés kivizsgálása és a bejelentés tárgyát képező magatartás orvoslása vagy megszüntetése. Azonosíthatatlan bejelentő esetén a bejelentés kivizsgálása mellőzhető.</w:t>
            </w:r>
          </w:p>
        </w:tc>
      </w:tr>
      <w:tr w:rsidR="00EC1645">
        <w:trPr>
          <w:trHeight w:hRule="exact" w:val="931"/>
          <w:jc w:val="center"/>
        </w:trPr>
        <w:tc>
          <w:tcPr>
            <w:tcW w:w="3211" w:type="dxa"/>
            <w:tcBorders>
              <w:top w:val="single" w:sz="4" w:space="0" w:color="auto"/>
              <w:left w:val="single" w:sz="4" w:space="0" w:color="auto"/>
            </w:tcBorders>
            <w:shd w:val="clear" w:color="auto" w:fill="auto"/>
          </w:tcPr>
          <w:p w:rsidR="00EC1645" w:rsidRDefault="00875604">
            <w:pPr>
              <w:pStyle w:val="Egyb0"/>
              <w:rPr>
                <w:sz w:val="20"/>
                <w:szCs w:val="20"/>
              </w:rPr>
            </w:pPr>
            <w:r>
              <w:rPr>
                <w:b/>
                <w:bCs/>
                <w:sz w:val="20"/>
                <w:szCs w:val="20"/>
              </w:rPr>
              <w:t>Jogalap</w:t>
            </w:r>
          </w:p>
        </w:tc>
        <w:tc>
          <w:tcPr>
            <w:tcW w:w="6014" w:type="dxa"/>
            <w:tcBorders>
              <w:top w:val="single" w:sz="4" w:space="0" w:color="auto"/>
              <w:left w:val="single" w:sz="4" w:space="0" w:color="auto"/>
              <w:right w:val="single" w:sz="4" w:space="0" w:color="auto"/>
            </w:tcBorders>
            <w:shd w:val="clear" w:color="auto" w:fill="auto"/>
            <w:vAlign w:val="bottom"/>
          </w:tcPr>
          <w:p w:rsidR="00EC1645" w:rsidRDefault="00875604">
            <w:pPr>
              <w:pStyle w:val="Egyb0"/>
              <w:jc w:val="both"/>
              <w:rPr>
                <w:sz w:val="20"/>
                <w:szCs w:val="20"/>
              </w:rPr>
            </w:pPr>
            <w:r>
              <w:rPr>
                <w:sz w:val="20"/>
                <w:szCs w:val="20"/>
              </w:rPr>
              <w:t xml:space="preserve">GDPR 6. cikk (1) </w:t>
            </w:r>
            <w:proofErr w:type="spellStart"/>
            <w:r>
              <w:rPr>
                <w:sz w:val="20"/>
                <w:szCs w:val="20"/>
              </w:rPr>
              <w:t>bek</w:t>
            </w:r>
            <w:proofErr w:type="spellEnd"/>
            <w:r>
              <w:rPr>
                <w:sz w:val="20"/>
                <w:szCs w:val="20"/>
              </w:rPr>
              <w:t>. e) pontja</w:t>
            </w:r>
          </w:p>
          <w:p w:rsidR="00EC1645" w:rsidRDefault="00875604">
            <w:pPr>
              <w:pStyle w:val="Egyb0"/>
              <w:jc w:val="both"/>
              <w:rPr>
                <w:sz w:val="20"/>
                <w:szCs w:val="20"/>
              </w:rPr>
            </w:pPr>
            <w:r>
              <w:rPr>
                <w:sz w:val="20"/>
                <w:szCs w:val="20"/>
              </w:rPr>
              <w:t>Az adatkezelés közérdekű vagy az adatkezelőre ruházott közhatalmi jogosítvány gyakorlásának keretében végzett feladat végrehajtásához szükséges.</w:t>
            </w:r>
          </w:p>
        </w:tc>
      </w:tr>
      <w:tr w:rsidR="00EC1645" w:rsidTr="00673C4F">
        <w:trPr>
          <w:trHeight w:hRule="exact" w:val="1222"/>
          <w:jc w:val="center"/>
        </w:trPr>
        <w:tc>
          <w:tcPr>
            <w:tcW w:w="3211" w:type="dxa"/>
            <w:tcBorders>
              <w:top w:val="single" w:sz="4" w:space="0" w:color="auto"/>
              <w:left w:val="single" w:sz="4" w:space="0" w:color="auto"/>
            </w:tcBorders>
            <w:shd w:val="clear" w:color="auto" w:fill="auto"/>
          </w:tcPr>
          <w:p w:rsidR="00EC1645" w:rsidRDefault="00875604">
            <w:pPr>
              <w:pStyle w:val="Egyb0"/>
              <w:rPr>
                <w:sz w:val="20"/>
                <w:szCs w:val="20"/>
              </w:rPr>
            </w:pPr>
            <w:r>
              <w:rPr>
                <w:b/>
                <w:bCs/>
                <w:sz w:val="20"/>
                <w:szCs w:val="20"/>
              </w:rPr>
              <w:t>Időtartam</w:t>
            </w:r>
          </w:p>
        </w:tc>
        <w:tc>
          <w:tcPr>
            <w:tcW w:w="6014" w:type="dxa"/>
            <w:tcBorders>
              <w:top w:val="single" w:sz="4" w:space="0" w:color="auto"/>
              <w:left w:val="single" w:sz="4" w:space="0" w:color="auto"/>
              <w:right w:val="single" w:sz="4" w:space="0" w:color="auto"/>
            </w:tcBorders>
            <w:shd w:val="clear" w:color="auto" w:fill="auto"/>
            <w:vAlign w:val="bottom"/>
          </w:tcPr>
          <w:p w:rsidR="00EC1645" w:rsidRDefault="00875604">
            <w:pPr>
              <w:pStyle w:val="Egyb0"/>
              <w:jc w:val="both"/>
              <w:rPr>
                <w:sz w:val="20"/>
                <w:szCs w:val="20"/>
              </w:rPr>
            </w:pPr>
            <w:r>
              <w:rPr>
                <w:sz w:val="20"/>
                <w:szCs w:val="20"/>
              </w:rPr>
              <w:t>A hatályos iratkezelési szabályzattal összhangban az iratok őrzési ideje 5 év.</w:t>
            </w:r>
          </w:p>
          <w:p w:rsidR="00EC1645" w:rsidRDefault="00875604">
            <w:pPr>
              <w:pStyle w:val="Egyb0"/>
              <w:jc w:val="both"/>
              <w:rPr>
                <w:sz w:val="20"/>
                <w:szCs w:val="20"/>
              </w:rPr>
            </w:pPr>
            <w:r>
              <w:rPr>
                <w:sz w:val="20"/>
                <w:szCs w:val="20"/>
              </w:rPr>
              <w:t xml:space="preserve">A </w:t>
            </w:r>
            <w:proofErr w:type="spellStart"/>
            <w:r>
              <w:rPr>
                <w:sz w:val="20"/>
                <w:szCs w:val="20"/>
              </w:rPr>
              <w:t>Panasztv</w:t>
            </w:r>
            <w:proofErr w:type="spellEnd"/>
            <w:r>
              <w:rPr>
                <w:sz w:val="20"/>
                <w:szCs w:val="20"/>
              </w:rPr>
              <w:t>. 26. § (2) bekezdése alapján a belső visszaélés-bejelentési rendszer keretei között kezelt adatok közül haladéktalanul törölni kell a bejelentés kivizsgálásához nem elengedhetetlenül szükséges személyes adatokat.</w:t>
            </w:r>
          </w:p>
        </w:tc>
      </w:tr>
      <w:tr w:rsidR="00EC1645" w:rsidTr="00673C4F">
        <w:trPr>
          <w:trHeight w:hRule="exact" w:val="5393"/>
          <w:jc w:val="center"/>
        </w:trPr>
        <w:tc>
          <w:tcPr>
            <w:tcW w:w="3211" w:type="dxa"/>
            <w:tcBorders>
              <w:top w:val="single" w:sz="4" w:space="0" w:color="auto"/>
              <w:left w:val="single" w:sz="4" w:space="0" w:color="auto"/>
            </w:tcBorders>
            <w:shd w:val="clear" w:color="auto" w:fill="auto"/>
          </w:tcPr>
          <w:p w:rsidR="00EC1645" w:rsidRDefault="00875604">
            <w:pPr>
              <w:pStyle w:val="Egyb0"/>
              <w:rPr>
                <w:sz w:val="20"/>
                <w:szCs w:val="20"/>
              </w:rPr>
            </w:pPr>
            <w:r>
              <w:rPr>
                <w:b/>
                <w:bCs/>
                <w:sz w:val="20"/>
                <w:szCs w:val="20"/>
              </w:rPr>
              <w:t>A személyes adatok címzettjei, a címzettek kategóriái</w:t>
            </w:r>
          </w:p>
        </w:tc>
        <w:tc>
          <w:tcPr>
            <w:tcW w:w="6014" w:type="dxa"/>
            <w:tcBorders>
              <w:top w:val="single" w:sz="4" w:space="0" w:color="auto"/>
              <w:left w:val="single" w:sz="4" w:space="0" w:color="auto"/>
              <w:right w:val="single" w:sz="4" w:space="0" w:color="auto"/>
            </w:tcBorders>
            <w:shd w:val="clear" w:color="auto" w:fill="auto"/>
            <w:vAlign w:val="bottom"/>
          </w:tcPr>
          <w:p w:rsidR="00673C4F" w:rsidRDefault="00875604">
            <w:pPr>
              <w:pStyle w:val="Egyb0"/>
              <w:jc w:val="both"/>
              <w:rPr>
                <w:sz w:val="20"/>
                <w:szCs w:val="20"/>
              </w:rPr>
            </w:pPr>
            <w:r>
              <w:rPr>
                <w:b/>
                <w:bCs/>
                <w:sz w:val="20"/>
                <w:szCs w:val="20"/>
              </w:rPr>
              <w:t xml:space="preserve">A) </w:t>
            </w:r>
            <w:r>
              <w:rPr>
                <w:sz w:val="20"/>
                <w:szCs w:val="20"/>
              </w:rPr>
              <w:t xml:space="preserve">A bejelentésben foglaltak és a bejelentő személyes adatai </w:t>
            </w:r>
            <w:r>
              <w:rPr>
                <w:b/>
                <w:bCs/>
                <w:sz w:val="20"/>
                <w:szCs w:val="20"/>
              </w:rPr>
              <w:t xml:space="preserve">a bejelentést kivizsgáló személyek számára ismerhetők meg, illetve a foglalkoztató más szervezeti egységével vagy munkatársával </w:t>
            </w:r>
            <w:r>
              <w:rPr>
                <w:sz w:val="20"/>
                <w:szCs w:val="20"/>
              </w:rPr>
              <w:t xml:space="preserve">a vizsgálat lefolytatásához feltétlenül szükséges mértékben oszthatók meg. </w:t>
            </w:r>
          </w:p>
          <w:p w:rsidR="00EC1645" w:rsidRDefault="00875604">
            <w:pPr>
              <w:pStyle w:val="Egyb0"/>
              <w:jc w:val="both"/>
              <w:rPr>
                <w:sz w:val="20"/>
                <w:szCs w:val="20"/>
              </w:rPr>
            </w:pPr>
            <w:r>
              <w:rPr>
                <w:b/>
                <w:bCs/>
                <w:sz w:val="20"/>
                <w:szCs w:val="20"/>
              </w:rPr>
              <w:t xml:space="preserve">B) </w:t>
            </w:r>
            <w:r>
              <w:rPr>
                <w:sz w:val="20"/>
                <w:szCs w:val="20"/>
              </w:rPr>
              <w:t xml:space="preserve">A </w:t>
            </w:r>
            <w:proofErr w:type="spellStart"/>
            <w:r>
              <w:rPr>
                <w:sz w:val="20"/>
                <w:szCs w:val="20"/>
              </w:rPr>
              <w:t>Panasztv</w:t>
            </w:r>
            <w:proofErr w:type="spellEnd"/>
            <w:r>
              <w:rPr>
                <w:sz w:val="20"/>
                <w:szCs w:val="20"/>
              </w:rPr>
              <w:t xml:space="preserve">. 6. § (2) bekezdése alapján a bejelentő személyes adatai csak </w:t>
            </w:r>
            <w:r>
              <w:rPr>
                <w:b/>
                <w:bCs/>
                <w:sz w:val="20"/>
                <w:szCs w:val="20"/>
              </w:rPr>
              <w:t xml:space="preserve">a bejelentés alapján kezdeményezett eljárás lefolytatására jogosult szerv részére adhatók át, ha e szerv annak kezelésére törvény alapján jogosult, vagy ha az adatai továbbításához a bejelentő hozzájárult. </w:t>
            </w:r>
            <w:r>
              <w:rPr>
                <w:sz w:val="20"/>
                <w:szCs w:val="20"/>
              </w:rPr>
              <w:t xml:space="preserve">A bejelentő személyes adatai hozzájárulása nélkül nem </w:t>
            </w:r>
            <w:proofErr w:type="spellStart"/>
            <w:r>
              <w:rPr>
                <w:sz w:val="20"/>
                <w:szCs w:val="20"/>
              </w:rPr>
              <w:t>hozhatóak</w:t>
            </w:r>
            <w:proofErr w:type="spellEnd"/>
            <w:r>
              <w:rPr>
                <w:sz w:val="20"/>
                <w:szCs w:val="20"/>
              </w:rPr>
              <w:t xml:space="preserve"> nyilvánosságra. A </w:t>
            </w:r>
            <w:proofErr w:type="spellStart"/>
            <w:r>
              <w:rPr>
                <w:sz w:val="20"/>
                <w:szCs w:val="20"/>
              </w:rPr>
              <w:t>Panasztv</w:t>
            </w:r>
            <w:proofErr w:type="spellEnd"/>
            <w:r>
              <w:rPr>
                <w:sz w:val="20"/>
                <w:szCs w:val="20"/>
              </w:rPr>
              <w:t xml:space="preserve">. 26. § (4) </w:t>
            </w:r>
            <w:proofErr w:type="spellStart"/>
            <w:r>
              <w:rPr>
                <w:sz w:val="20"/>
                <w:szCs w:val="20"/>
              </w:rPr>
              <w:t>bek</w:t>
            </w:r>
            <w:proofErr w:type="spellEnd"/>
            <w:r>
              <w:rPr>
                <w:sz w:val="20"/>
                <w:szCs w:val="20"/>
              </w:rPr>
              <w:t xml:space="preserve">. </w:t>
            </w:r>
            <w:proofErr w:type="gramStart"/>
            <w:r>
              <w:rPr>
                <w:sz w:val="20"/>
                <w:szCs w:val="20"/>
              </w:rPr>
              <w:t>alapján</w:t>
            </w:r>
            <w:proofErr w:type="gramEnd"/>
            <w:r>
              <w:rPr>
                <w:sz w:val="20"/>
                <w:szCs w:val="20"/>
              </w:rPr>
              <w:t xml:space="preserve"> ha a bejelentés természetes személyre vonatkozik, a bejelentő személyes adatai nem tehetők megismerhetővé a tájékoztatást kérő személy számára.</w:t>
            </w:r>
          </w:p>
          <w:p w:rsidR="00EC1645" w:rsidRDefault="00875604">
            <w:pPr>
              <w:pStyle w:val="Egyb0"/>
              <w:numPr>
                <w:ilvl w:val="0"/>
                <w:numId w:val="7"/>
              </w:numPr>
              <w:tabs>
                <w:tab w:val="left" w:pos="317"/>
              </w:tabs>
              <w:jc w:val="both"/>
              <w:rPr>
                <w:sz w:val="20"/>
                <w:szCs w:val="20"/>
              </w:rPr>
            </w:pPr>
            <w:r>
              <w:rPr>
                <w:sz w:val="20"/>
                <w:szCs w:val="20"/>
              </w:rPr>
              <w:t xml:space="preserve">A </w:t>
            </w:r>
            <w:proofErr w:type="spellStart"/>
            <w:r>
              <w:rPr>
                <w:sz w:val="20"/>
                <w:szCs w:val="20"/>
              </w:rPr>
              <w:t>Panasztv</w:t>
            </w:r>
            <w:proofErr w:type="spellEnd"/>
            <w:r>
              <w:rPr>
                <w:sz w:val="20"/>
                <w:szCs w:val="20"/>
              </w:rPr>
              <w:t xml:space="preserve">. 6. § (4) bekezdése alapján amennyiben a bejelentő rosszhiszeműen valótlan adatot vagy információt közölt és ezzel </w:t>
            </w:r>
            <w:r>
              <w:rPr>
                <w:b/>
                <w:bCs/>
                <w:sz w:val="20"/>
                <w:szCs w:val="20"/>
              </w:rPr>
              <w:t xml:space="preserve">bűncselekmény vagy szabálysértés </w:t>
            </w:r>
            <w:r>
              <w:rPr>
                <w:sz w:val="20"/>
                <w:szCs w:val="20"/>
              </w:rPr>
              <w:t xml:space="preserve">elkövetésére utaló körülmény merül fel, személyes adatait az </w:t>
            </w:r>
            <w:r>
              <w:rPr>
                <w:b/>
                <w:bCs/>
                <w:sz w:val="20"/>
                <w:szCs w:val="20"/>
              </w:rPr>
              <w:t xml:space="preserve">eljárás lefolytatására jogosult szerv vagy személy </w:t>
            </w:r>
            <w:r>
              <w:rPr>
                <w:sz w:val="20"/>
                <w:szCs w:val="20"/>
              </w:rPr>
              <w:t>részére át kell adni, amennyiben alappal valószínűsíthető, hogy másnak jogellenes kárt vagy egyéb jogsérelmet okozott, személyes adatait az eljárás kezdeményezésére, illetve lefolytatására jogosult szervnek vagy személynek kérelmére át kell adni.</w:t>
            </w:r>
          </w:p>
          <w:p w:rsidR="00EC1645" w:rsidRDefault="00875604">
            <w:pPr>
              <w:pStyle w:val="Egyb0"/>
              <w:numPr>
                <w:ilvl w:val="0"/>
                <w:numId w:val="7"/>
              </w:numPr>
              <w:tabs>
                <w:tab w:val="left" w:pos="317"/>
              </w:tabs>
              <w:jc w:val="both"/>
              <w:rPr>
                <w:sz w:val="20"/>
                <w:szCs w:val="20"/>
              </w:rPr>
            </w:pPr>
            <w:r>
              <w:rPr>
                <w:sz w:val="20"/>
                <w:szCs w:val="20"/>
              </w:rPr>
              <w:t>A köziratokról, a közlevéltárakról és a magánlevéltári anyag védelméről szóló 1995. évi LXVI. törvény (</w:t>
            </w:r>
            <w:proofErr w:type="spellStart"/>
            <w:r>
              <w:rPr>
                <w:sz w:val="20"/>
                <w:szCs w:val="20"/>
              </w:rPr>
              <w:t>Ltv</w:t>
            </w:r>
            <w:proofErr w:type="spellEnd"/>
            <w:r>
              <w:rPr>
                <w:sz w:val="20"/>
                <w:szCs w:val="20"/>
              </w:rPr>
              <w:t xml:space="preserve">.) alapján a megőrzési időt követően az iratok opcionálisan </w:t>
            </w:r>
            <w:r>
              <w:rPr>
                <w:b/>
                <w:bCs/>
                <w:sz w:val="20"/>
                <w:szCs w:val="20"/>
              </w:rPr>
              <w:t xml:space="preserve">levéltárba </w:t>
            </w:r>
            <w:r>
              <w:rPr>
                <w:sz w:val="20"/>
                <w:szCs w:val="20"/>
              </w:rPr>
              <w:t>kerülhetnek.</w:t>
            </w:r>
          </w:p>
        </w:tc>
      </w:tr>
      <w:tr w:rsidR="00EC1645">
        <w:trPr>
          <w:trHeight w:hRule="exact" w:val="250"/>
          <w:jc w:val="center"/>
        </w:trPr>
        <w:tc>
          <w:tcPr>
            <w:tcW w:w="3211" w:type="dxa"/>
            <w:tcBorders>
              <w:top w:val="single" w:sz="4" w:space="0" w:color="auto"/>
              <w:left w:val="single" w:sz="4" w:space="0" w:color="auto"/>
              <w:bottom w:val="single" w:sz="4" w:space="0" w:color="auto"/>
            </w:tcBorders>
            <w:shd w:val="clear" w:color="auto" w:fill="auto"/>
            <w:vAlign w:val="bottom"/>
          </w:tcPr>
          <w:p w:rsidR="00EC1645" w:rsidRDefault="00875604">
            <w:pPr>
              <w:pStyle w:val="Egyb0"/>
              <w:rPr>
                <w:sz w:val="20"/>
                <w:szCs w:val="20"/>
              </w:rPr>
            </w:pPr>
            <w:r>
              <w:rPr>
                <w:b/>
                <w:bCs/>
                <w:sz w:val="20"/>
                <w:szCs w:val="20"/>
              </w:rPr>
              <w:t>Adatfeldolgozó</w:t>
            </w:r>
          </w:p>
        </w:tc>
        <w:tc>
          <w:tcPr>
            <w:tcW w:w="6014" w:type="dxa"/>
            <w:tcBorders>
              <w:top w:val="single" w:sz="4" w:space="0" w:color="auto"/>
              <w:left w:val="single" w:sz="4" w:space="0" w:color="auto"/>
              <w:bottom w:val="single" w:sz="4" w:space="0" w:color="auto"/>
              <w:right w:val="single" w:sz="4" w:space="0" w:color="auto"/>
            </w:tcBorders>
            <w:shd w:val="clear" w:color="auto" w:fill="auto"/>
            <w:vAlign w:val="center"/>
          </w:tcPr>
          <w:p w:rsidR="001A5DB3" w:rsidRDefault="00875604">
            <w:pPr>
              <w:pStyle w:val="Egyb0"/>
              <w:jc w:val="both"/>
              <w:rPr>
                <w:sz w:val="20"/>
                <w:szCs w:val="20"/>
              </w:rPr>
            </w:pPr>
            <w:r>
              <w:rPr>
                <w:sz w:val="20"/>
                <w:szCs w:val="20"/>
              </w:rPr>
              <w:t>-</w:t>
            </w:r>
          </w:p>
          <w:p w:rsidR="001A5DB3" w:rsidRPr="001A5DB3" w:rsidRDefault="001A5DB3" w:rsidP="001A5DB3"/>
          <w:p w:rsidR="001A5DB3" w:rsidRPr="001A5DB3" w:rsidRDefault="001A5DB3" w:rsidP="001A5DB3"/>
          <w:p w:rsidR="001A5DB3" w:rsidRPr="001A5DB3" w:rsidRDefault="001A5DB3" w:rsidP="001A5DB3"/>
          <w:p w:rsidR="00EC1645" w:rsidRPr="001A5DB3" w:rsidRDefault="00EC1645" w:rsidP="001A5DB3"/>
        </w:tc>
      </w:tr>
      <w:tr w:rsidR="00EC1645">
        <w:trPr>
          <w:trHeight w:hRule="exact" w:val="706"/>
          <w:jc w:val="center"/>
        </w:trPr>
        <w:tc>
          <w:tcPr>
            <w:tcW w:w="3211" w:type="dxa"/>
            <w:tcBorders>
              <w:top w:val="single" w:sz="4" w:space="0" w:color="auto"/>
              <w:left w:val="single" w:sz="4" w:space="0" w:color="auto"/>
            </w:tcBorders>
            <w:shd w:val="clear" w:color="auto" w:fill="auto"/>
            <w:vAlign w:val="bottom"/>
          </w:tcPr>
          <w:p w:rsidR="00EC1645" w:rsidRDefault="00875604">
            <w:pPr>
              <w:pStyle w:val="Egyb0"/>
              <w:tabs>
                <w:tab w:val="left" w:pos="2146"/>
              </w:tabs>
              <w:rPr>
                <w:sz w:val="20"/>
                <w:szCs w:val="20"/>
              </w:rPr>
            </w:pPr>
            <w:r>
              <w:rPr>
                <w:b/>
                <w:bCs/>
                <w:sz w:val="20"/>
                <w:szCs w:val="20"/>
              </w:rPr>
              <w:t>Adattovábbítás</w:t>
            </w:r>
            <w:r>
              <w:rPr>
                <w:b/>
                <w:bCs/>
                <w:sz w:val="20"/>
                <w:szCs w:val="20"/>
              </w:rPr>
              <w:tab/>
              <w:t>harmadik</w:t>
            </w:r>
          </w:p>
          <w:p w:rsidR="00EC1645" w:rsidRDefault="00875604">
            <w:pPr>
              <w:pStyle w:val="Egyb0"/>
              <w:tabs>
                <w:tab w:val="left" w:pos="1186"/>
                <w:tab w:val="left" w:pos="2021"/>
              </w:tabs>
              <w:rPr>
                <w:sz w:val="20"/>
                <w:szCs w:val="20"/>
              </w:rPr>
            </w:pPr>
            <w:r>
              <w:rPr>
                <w:b/>
                <w:bCs/>
                <w:sz w:val="20"/>
                <w:szCs w:val="20"/>
              </w:rPr>
              <w:t>országba</w:t>
            </w:r>
            <w:r>
              <w:rPr>
                <w:b/>
                <w:bCs/>
                <w:sz w:val="20"/>
                <w:szCs w:val="20"/>
              </w:rPr>
              <w:tab/>
              <w:t>vagy</w:t>
            </w:r>
            <w:r>
              <w:rPr>
                <w:b/>
                <w:bCs/>
                <w:sz w:val="20"/>
                <w:szCs w:val="20"/>
              </w:rPr>
              <w:tab/>
              <w:t>nemzetközi</w:t>
            </w:r>
          </w:p>
          <w:p w:rsidR="00EC1645" w:rsidRDefault="00875604">
            <w:pPr>
              <w:pStyle w:val="Egyb0"/>
              <w:rPr>
                <w:sz w:val="20"/>
                <w:szCs w:val="20"/>
              </w:rPr>
            </w:pPr>
            <w:r>
              <w:rPr>
                <w:b/>
                <w:bCs/>
                <w:sz w:val="20"/>
                <w:szCs w:val="20"/>
              </w:rPr>
              <w:t>szervezet részére</w:t>
            </w:r>
          </w:p>
        </w:tc>
        <w:tc>
          <w:tcPr>
            <w:tcW w:w="6014" w:type="dxa"/>
            <w:tcBorders>
              <w:top w:val="single" w:sz="4" w:space="0" w:color="auto"/>
              <w:left w:val="single" w:sz="4" w:space="0" w:color="auto"/>
              <w:right w:val="single" w:sz="4" w:space="0" w:color="auto"/>
            </w:tcBorders>
            <w:shd w:val="clear" w:color="auto" w:fill="auto"/>
          </w:tcPr>
          <w:p w:rsidR="00EC1645" w:rsidRDefault="00875604">
            <w:pPr>
              <w:pStyle w:val="Egyb0"/>
              <w:rPr>
                <w:sz w:val="20"/>
                <w:szCs w:val="20"/>
              </w:rPr>
            </w:pPr>
            <w:r>
              <w:rPr>
                <w:sz w:val="20"/>
                <w:szCs w:val="20"/>
              </w:rPr>
              <w:t>-</w:t>
            </w:r>
          </w:p>
        </w:tc>
      </w:tr>
      <w:tr w:rsidR="00EC1645">
        <w:trPr>
          <w:trHeight w:hRule="exact" w:val="250"/>
          <w:jc w:val="center"/>
        </w:trPr>
        <w:tc>
          <w:tcPr>
            <w:tcW w:w="3211" w:type="dxa"/>
            <w:tcBorders>
              <w:top w:val="single" w:sz="4" w:space="0" w:color="auto"/>
              <w:left w:val="single" w:sz="4" w:space="0" w:color="auto"/>
              <w:bottom w:val="single" w:sz="4" w:space="0" w:color="auto"/>
            </w:tcBorders>
            <w:shd w:val="clear" w:color="auto" w:fill="auto"/>
            <w:vAlign w:val="center"/>
          </w:tcPr>
          <w:p w:rsidR="00EC1645" w:rsidRDefault="00875604">
            <w:pPr>
              <w:pStyle w:val="Egyb0"/>
              <w:rPr>
                <w:sz w:val="20"/>
                <w:szCs w:val="20"/>
              </w:rPr>
            </w:pPr>
            <w:r>
              <w:rPr>
                <w:b/>
                <w:bCs/>
                <w:sz w:val="20"/>
                <w:szCs w:val="20"/>
              </w:rPr>
              <w:t>Automatizált döntéshozatal</w:t>
            </w:r>
          </w:p>
        </w:tc>
        <w:tc>
          <w:tcPr>
            <w:tcW w:w="6014" w:type="dxa"/>
            <w:tcBorders>
              <w:top w:val="single" w:sz="4" w:space="0" w:color="auto"/>
              <w:left w:val="single" w:sz="4" w:space="0" w:color="auto"/>
              <w:bottom w:val="single" w:sz="4" w:space="0" w:color="auto"/>
              <w:right w:val="single" w:sz="4" w:space="0" w:color="auto"/>
            </w:tcBorders>
            <w:shd w:val="clear" w:color="auto" w:fill="auto"/>
            <w:vAlign w:val="center"/>
          </w:tcPr>
          <w:p w:rsidR="00EC1645" w:rsidRDefault="00875604">
            <w:pPr>
              <w:pStyle w:val="Egyb0"/>
              <w:rPr>
                <w:sz w:val="20"/>
                <w:szCs w:val="20"/>
              </w:rPr>
            </w:pPr>
            <w:r>
              <w:rPr>
                <w:sz w:val="20"/>
                <w:szCs w:val="20"/>
              </w:rPr>
              <w:t>-</w:t>
            </w:r>
          </w:p>
        </w:tc>
      </w:tr>
    </w:tbl>
    <w:p w:rsidR="00EC1645" w:rsidRDefault="00EC1645">
      <w:pPr>
        <w:spacing w:after="219" w:line="1" w:lineRule="exact"/>
      </w:pPr>
    </w:p>
    <w:p w:rsidR="00EC1645" w:rsidRDefault="00875604">
      <w:pPr>
        <w:pStyle w:val="Szvegtrzs1"/>
        <w:rPr>
          <w:sz w:val="20"/>
          <w:szCs w:val="20"/>
        </w:rPr>
      </w:pPr>
      <w:r>
        <w:rPr>
          <w:b/>
          <w:bCs/>
          <w:i/>
          <w:iCs/>
          <w:sz w:val="20"/>
          <w:szCs w:val="20"/>
          <w:u w:val="single"/>
        </w:rPr>
        <w:lastRenderedPageBreak/>
        <w:t>Az</w:t>
      </w:r>
      <w:r>
        <w:rPr>
          <w:b/>
          <w:bCs/>
          <w:sz w:val="20"/>
          <w:szCs w:val="20"/>
          <w:u w:val="single"/>
        </w:rPr>
        <w:t xml:space="preserve"> adatkezeléssel kapcsolatos érintetti jogok:</w:t>
      </w:r>
    </w:p>
    <w:p w:rsidR="00EC1645" w:rsidRDefault="00875604">
      <w:pPr>
        <w:pStyle w:val="Szvegtrzs1"/>
        <w:numPr>
          <w:ilvl w:val="0"/>
          <w:numId w:val="8"/>
        </w:numPr>
        <w:tabs>
          <w:tab w:val="left" w:pos="716"/>
        </w:tabs>
        <w:ind w:left="720" w:hanging="340"/>
        <w:jc w:val="both"/>
        <w:rPr>
          <w:sz w:val="20"/>
          <w:szCs w:val="20"/>
        </w:rPr>
      </w:pPr>
      <w:r>
        <w:rPr>
          <w:b/>
          <w:bCs/>
          <w:sz w:val="20"/>
          <w:szCs w:val="20"/>
        </w:rPr>
        <w:t xml:space="preserve">Az átlátható tájékoztatáshoz való jog </w:t>
      </w:r>
      <w:r>
        <w:rPr>
          <w:sz w:val="20"/>
          <w:szCs w:val="20"/>
        </w:rPr>
        <w:t>- jelen tájékoztatóval az adatkezelő információt nyújt az adatkezelés körülményeiről, vagyis többek közt arról, hogy az Ön személyes adatait ki, milyen célból, milyen alapon és meddig kezeli, valamint, hogy Önt az adatkezeléssel összefüggésben milyen jogok illetik meg, és az adatkezelésre vonatkozó kérdéseivel, panaszával kihez fordulhat.</w:t>
      </w:r>
    </w:p>
    <w:p w:rsidR="00EC1645" w:rsidRDefault="00875604">
      <w:pPr>
        <w:pStyle w:val="Szvegtrzs1"/>
        <w:numPr>
          <w:ilvl w:val="0"/>
          <w:numId w:val="8"/>
        </w:numPr>
        <w:tabs>
          <w:tab w:val="left" w:pos="716"/>
        </w:tabs>
        <w:ind w:left="720" w:hanging="340"/>
        <w:jc w:val="both"/>
        <w:rPr>
          <w:sz w:val="20"/>
          <w:szCs w:val="20"/>
        </w:rPr>
      </w:pPr>
      <w:r>
        <w:rPr>
          <w:b/>
          <w:bCs/>
          <w:sz w:val="20"/>
          <w:szCs w:val="20"/>
        </w:rPr>
        <w:t xml:space="preserve">A személyes adataihoz való hozzáférés joga </w:t>
      </w:r>
      <w:r>
        <w:rPr>
          <w:sz w:val="20"/>
          <w:szCs w:val="20"/>
        </w:rPr>
        <w:t>- Ön bármikor megkérdezheti az adatkezelőtől, hogy személyes adatainak kezelése folyamatban van-e, az adatkezelésről teljes körű tájékoztatást kérhet, továbbá kérheti, hogy személyes adatairól másolatot kapjon.</w:t>
      </w:r>
    </w:p>
    <w:p w:rsidR="00EC1645" w:rsidRDefault="00875604">
      <w:pPr>
        <w:pStyle w:val="Szvegtrzs1"/>
        <w:numPr>
          <w:ilvl w:val="0"/>
          <w:numId w:val="8"/>
        </w:numPr>
        <w:tabs>
          <w:tab w:val="left" w:pos="716"/>
        </w:tabs>
        <w:ind w:left="720" w:hanging="340"/>
        <w:jc w:val="both"/>
        <w:rPr>
          <w:sz w:val="20"/>
          <w:szCs w:val="20"/>
        </w:rPr>
      </w:pPr>
      <w:r>
        <w:rPr>
          <w:b/>
          <w:bCs/>
          <w:sz w:val="20"/>
          <w:szCs w:val="20"/>
        </w:rPr>
        <w:t xml:space="preserve">Személyes adatai helyesbítéséhez való jog </w:t>
      </w:r>
      <w:r>
        <w:rPr>
          <w:sz w:val="20"/>
          <w:szCs w:val="20"/>
        </w:rPr>
        <w:t>- Ön kérheti, hogy az adatkezelő az Ön pontatlan személyes adatait javítsa ki, vagy ha hiányosak, azokat egészítse ki.</w:t>
      </w:r>
    </w:p>
    <w:p w:rsidR="00EC1645" w:rsidRDefault="00875604">
      <w:pPr>
        <w:pStyle w:val="Szvegtrzs1"/>
        <w:numPr>
          <w:ilvl w:val="0"/>
          <w:numId w:val="8"/>
        </w:numPr>
        <w:tabs>
          <w:tab w:val="left" w:pos="716"/>
        </w:tabs>
        <w:ind w:firstLine="380"/>
        <w:rPr>
          <w:sz w:val="20"/>
          <w:szCs w:val="20"/>
        </w:rPr>
      </w:pPr>
      <w:r>
        <w:rPr>
          <w:b/>
          <w:bCs/>
          <w:sz w:val="20"/>
          <w:szCs w:val="20"/>
        </w:rPr>
        <w:t xml:space="preserve">Személyes adatainak törléséhez való jog </w:t>
      </w:r>
      <w:r>
        <w:rPr>
          <w:sz w:val="20"/>
          <w:szCs w:val="20"/>
        </w:rPr>
        <w:t>- Ön kérheti, hogy személyes adatait az adatkezelő törölje.</w:t>
      </w:r>
    </w:p>
    <w:p w:rsidR="00EC1645" w:rsidRDefault="00875604">
      <w:pPr>
        <w:pStyle w:val="Szvegtrzs1"/>
        <w:numPr>
          <w:ilvl w:val="0"/>
          <w:numId w:val="8"/>
        </w:numPr>
        <w:tabs>
          <w:tab w:val="left" w:pos="716"/>
        </w:tabs>
        <w:ind w:left="720" w:hanging="340"/>
        <w:jc w:val="both"/>
        <w:rPr>
          <w:sz w:val="20"/>
          <w:szCs w:val="20"/>
        </w:rPr>
      </w:pPr>
      <w:r>
        <w:rPr>
          <w:b/>
          <w:bCs/>
          <w:sz w:val="20"/>
          <w:szCs w:val="20"/>
        </w:rPr>
        <w:t xml:space="preserve">Az adatkezelés korlátozásához való jog </w:t>
      </w:r>
      <w:r>
        <w:rPr>
          <w:sz w:val="20"/>
          <w:szCs w:val="20"/>
        </w:rPr>
        <w:t>- Ön (pl. jogi igények előterjesztése, érvényesítése vagy védelme érdekében) kérheti, hogy személyes adatait az adatkezelő csak tárolja, és más módon ne kezelje.</w:t>
      </w:r>
    </w:p>
    <w:p w:rsidR="00EC1645" w:rsidRDefault="00875604">
      <w:pPr>
        <w:pStyle w:val="Szvegtrzs1"/>
        <w:numPr>
          <w:ilvl w:val="0"/>
          <w:numId w:val="8"/>
        </w:numPr>
        <w:tabs>
          <w:tab w:val="left" w:pos="716"/>
        </w:tabs>
        <w:ind w:left="720" w:hanging="340"/>
        <w:jc w:val="both"/>
        <w:rPr>
          <w:sz w:val="20"/>
          <w:szCs w:val="20"/>
        </w:rPr>
      </w:pPr>
      <w:r>
        <w:rPr>
          <w:b/>
          <w:bCs/>
          <w:sz w:val="20"/>
          <w:szCs w:val="20"/>
        </w:rPr>
        <w:t xml:space="preserve">A helyesbítésről, törlésről vagy adatkezelés-korlátozásról tájékoztatott címzettek személyére vonatkozó tájékoztatás </w:t>
      </w:r>
      <w:r>
        <w:rPr>
          <w:sz w:val="20"/>
          <w:szCs w:val="20"/>
        </w:rPr>
        <w:t>- kérésére tájékoztatjuk Önt a hivatkozott címzettekről.</w:t>
      </w:r>
    </w:p>
    <w:p w:rsidR="00EC1645" w:rsidRDefault="00875604">
      <w:pPr>
        <w:pStyle w:val="Szvegtrzs1"/>
        <w:numPr>
          <w:ilvl w:val="0"/>
          <w:numId w:val="8"/>
        </w:numPr>
        <w:tabs>
          <w:tab w:val="left" w:pos="716"/>
        </w:tabs>
        <w:ind w:left="720" w:hanging="340"/>
        <w:jc w:val="both"/>
        <w:rPr>
          <w:sz w:val="20"/>
          <w:szCs w:val="20"/>
        </w:rPr>
      </w:pPr>
      <w:r>
        <w:rPr>
          <w:b/>
          <w:bCs/>
          <w:sz w:val="20"/>
          <w:szCs w:val="20"/>
        </w:rPr>
        <w:t xml:space="preserve">Adathordozhatósághoz való jog </w:t>
      </w:r>
      <w:r>
        <w:rPr>
          <w:sz w:val="20"/>
          <w:szCs w:val="20"/>
        </w:rPr>
        <w:t xml:space="preserve">- </w:t>
      </w:r>
      <w:r w:rsidR="00620988" w:rsidRPr="00620988">
        <w:rPr>
          <w:sz w:val="20"/>
          <w:szCs w:val="20"/>
        </w:rPr>
        <w:t>Az érintett jogosult arra, hogy a rá vonatkozó</w:t>
      </w:r>
      <w:r w:rsidR="00620988">
        <w:rPr>
          <w:sz w:val="20"/>
          <w:szCs w:val="20"/>
        </w:rPr>
        <w:t>,</w:t>
      </w:r>
      <w:r>
        <w:rPr>
          <w:sz w:val="20"/>
          <w:szCs w:val="20"/>
        </w:rPr>
        <w:t xml:space="preserve"> az adatkezelő az Ön által rendelkezésre bocsátott személyes adatait tagolt, széles körben használt, géppel olvasható formátumban megkapja vagy egy másik adatkezelőnek továbbítsa. Ez a jog csak a hozzájárulás vagy szerződés alapján kezelt adatok vonatkozásában illeti meg Önt, feltéve, hogy az adatkezelés automatizált eszközökkel történik.</w:t>
      </w:r>
    </w:p>
    <w:p w:rsidR="00EC1645" w:rsidRDefault="00875604">
      <w:pPr>
        <w:pStyle w:val="Szvegtrzs1"/>
        <w:numPr>
          <w:ilvl w:val="0"/>
          <w:numId w:val="8"/>
        </w:numPr>
        <w:tabs>
          <w:tab w:val="left" w:pos="716"/>
        </w:tabs>
        <w:ind w:left="720" w:hanging="340"/>
        <w:jc w:val="both"/>
        <w:rPr>
          <w:sz w:val="20"/>
          <w:szCs w:val="20"/>
        </w:rPr>
      </w:pPr>
      <w:r>
        <w:rPr>
          <w:b/>
          <w:bCs/>
          <w:sz w:val="20"/>
          <w:szCs w:val="20"/>
        </w:rPr>
        <w:t xml:space="preserve">Tiltakozáshoz való jog </w:t>
      </w:r>
      <w:r>
        <w:rPr>
          <w:sz w:val="20"/>
          <w:szCs w:val="20"/>
        </w:rPr>
        <w:t>- Ön bármikor tiltakozhat személyes adatainak kezelése ellen, feltéve, hogy az adatkezelés jogalapja jogos érdek vagy az adatkezelés közérdekű vagy az adatkezelőre ruházott közhatalmi jogosítvány gyakorlásának keretében végzett feladat végrehajtásához szükséges.</w:t>
      </w:r>
    </w:p>
    <w:p w:rsidR="00EC1645" w:rsidRDefault="00875604">
      <w:pPr>
        <w:pStyle w:val="Szvegtrzs1"/>
        <w:numPr>
          <w:ilvl w:val="0"/>
          <w:numId w:val="8"/>
        </w:numPr>
        <w:tabs>
          <w:tab w:val="left" w:pos="716"/>
        </w:tabs>
        <w:ind w:left="720" w:hanging="340"/>
        <w:jc w:val="both"/>
        <w:rPr>
          <w:sz w:val="20"/>
          <w:szCs w:val="20"/>
        </w:rPr>
      </w:pPr>
      <w:r>
        <w:rPr>
          <w:b/>
          <w:bCs/>
          <w:sz w:val="20"/>
          <w:szCs w:val="20"/>
        </w:rPr>
        <w:t xml:space="preserve">Automatizált döntéshozatal elleni fellépéshez való jog </w:t>
      </w:r>
      <w:r>
        <w:rPr>
          <w:sz w:val="20"/>
          <w:szCs w:val="20"/>
        </w:rPr>
        <w:t>- kérheti, hogy ne terjedjen ki Önre a döntés hatálya. Kérjük, jelezze, ha ilyet észlel! Ha a jelen tájékoztató nem tartalmaz információkat az automatizált döntéshozatalról, akkor az ez elleni fellépéshez való jog értelemszerűen nem releváns.</w:t>
      </w:r>
    </w:p>
    <w:p w:rsidR="00EC1645" w:rsidRDefault="00875604">
      <w:pPr>
        <w:pStyle w:val="Szvegtrzs1"/>
        <w:numPr>
          <w:ilvl w:val="0"/>
          <w:numId w:val="8"/>
        </w:numPr>
        <w:tabs>
          <w:tab w:val="left" w:pos="738"/>
        </w:tabs>
        <w:spacing w:after="220"/>
        <w:ind w:left="720" w:hanging="340"/>
        <w:jc w:val="both"/>
        <w:rPr>
          <w:sz w:val="20"/>
          <w:szCs w:val="20"/>
        </w:rPr>
      </w:pPr>
      <w:r>
        <w:rPr>
          <w:b/>
          <w:bCs/>
          <w:sz w:val="20"/>
          <w:szCs w:val="20"/>
        </w:rPr>
        <w:t xml:space="preserve">Jogorvoslathoz való jog </w:t>
      </w:r>
      <w:r>
        <w:rPr>
          <w:sz w:val="20"/>
          <w:szCs w:val="20"/>
        </w:rPr>
        <w:t>- jogainak megsértése esetén közvetlenül az adatkezelőhöz, vagy a Nemzeti Adatvédelmi és Információszabadság Hatósághoz, illetve bírósághoz fordulhat.</w:t>
      </w:r>
    </w:p>
    <w:p w:rsidR="00EC1645" w:rsidRDefault="00875604">
      <w:pPr>
        <w:pStyle w:val="Szvegtrzs1"/>
        <w:jc w:val="both"/>
        <w:rPr>
          <w:sz w:val="20"/>
          <w:szCs w:val="20"/>
        </w:rPr>
      </w:pPr>
      <w:r>
        <w:rPr>
          <w:b/>
          <w:bCs/>
          <w:sz w:val="20"/>
          <w:szCs w:val="20"/>
          <w:u w:val="single"/>
        </w:rPr>
        <w:t>Hová fordulhat, ha jogorvoslattal szeretne élni, vagy ha kérdése van?</w:t>
      </w:r>
    </w:p>
    <w:p w:rsidR="00EC1645" w:rsidRDefault="00875604">
      <w:pPr>
        <w:pStyle w:val="Szvegtrzs1"/>
        <w:jc w:val="both"/>
        <w:rPr>
          <w:sz w:val="20"/>
          <w:szCs w:val="20"/>
        </w:rPr>
      </w:pPr>
      <w:r>
        <w:rPr>
          <w:sz w:val="20"/>
          <w:szCs w:val="20"/>
        </w:rPr>
        <w:t xml:space="preserve">Közvetlenül az </w:t>
      </w:r>
      <w:r>
        <w:rPr>
          <w:i/>
          <w:iCs/>
          <w:sz w:val="20"/>
          <w:szCs w:val="20"/>
        </w:rPr>
        <w:t>adatkezelőhöz</w:t>
      </w:r>
      <w:r>
        <w:rPr>
          <w:sz w:val="20"/>
          <w:szCs w:val="20"/>
        </w:rPr>
        <w:t xml:space="preserve"> a jelen adatkezelési tájékoztató második bekezdésében megadott elérhetőségek egyikén.</w:t>
      </w:r>
    </w:p>
    <w:p w:rsidR="009448F5" w:rsidRDefault="009448F5">
      <w:pPr>
        <w:pStyle w:val="Szvegtrzs1"/>
        <w:jc w:val="both"/>
        <w:rPr>
          <w:sz w:val="20"/>
          <w:szCs w:val="20"/>
        </w:rPr>
      </w:pPr>
    </w:p>
    <w:p w:rsidR="00EC1645" w:rsidRDefault="00875604">
      <w:pPr>
        <w:pStyle w:val="Szvegtrzs1"/>
        <w:jc w:val="both"/>
        <w:rPr>
          <w:sz w:val="20"/>
          <w:szCs w:val="20"/>
        </w:rPr>
      </w:pPr>
      <w:r>
        <w:rPr>
          <w:sz w:val="20"/>
          <w:szCs w:val="20"/>
        </w:rPr>
        <w:t>További jogorvoslati lehetőségek:</w:t>
      </w:r>
    </w:p>
    <w:p w:rsidR="00EC1645" w:rsidRDefault="00875604">
      <w:pPr>
        <w:pStyle w:val="Szvegtrzs1"/>
        <w:ind w:firstLine="720"/>
        <w:rPr>
          <w:sz w:val="20"/>
          <w:szCs w:val="20"/>
        </w:rPr>
      </w:pPr>
      <w:r>
        <w:rPr>
          <w:i/>
          <w:iCs/>
          <w:sz w:val="20"/>
          <w:szCs w:val="20"/>
        </w:rPr>
        <w:t>Panaszt nyújthat be a Nemzeti Adatvédelmi és Információszabadság Hatósághoz (NAIH)</w:t>
      </w:r>
      <w:r w:rsidR="009448F5">
        <w:rPr>
          <w:i/>
          <w:iCs/>
          <w:sz w:val="20"/>
          <w:szCs w:val="20"/>
        </w:rPr>
        <w:t>:</w:t>
      </w:r>
    </w:p>
    <w:p w:rsidR="00EC1645" w:rsidRDefault="00875604">
      <w:pPr>
        <w:pStyle w:val="Szvegtrzs1"/>
        <w:ind w:left="1440"/>
        <w:rPr>
          <w:sz w:val="20"/>
          <w:szCs w:val="20"/>
        </w:rPr>
      </w:pPr>
      <w:r>
        <w:rPr>
          <w:sz w:val="20"/>
          <w:szCs w:val="20"/>
        </w:rPr>
        <w:t>Székhely: 1055 Budapest, Falk Miksa u. 9-11.</w:t>
      </w:r>
    </w:p>
    <w:p w:rsidR="00EC1645" w:rsidRDefault="00875604">
      <w:pPr>
        <w:pStyle w:val="Szvegtrzs1"/>
        <w:ind w:left="1440"/>
        <w:rPr>
          <w:sz w:val="20"/>
          <w:szCs w:val="20"/>
        </w:rPr>
      </w:pPr>
      <w:r>
        <w:rPr>
          <w:sz w:val="20"/>
          <w:szCs w:val="20"/>
        </w:rPr>
        <w:t>Honlap:</w:t>
      </w:r>
      <w:hyperlink r:id="rId13" w:history="1">
        <w:r>
          <w:rPr>
            <w:sz w:val="20"/>
            <w:szCs w:val="20"/>
          </w:rPr>
          <w:t xml:space="preserve"> </w:t>
        </w:r>
        <w:r>
          <w:rPr>
            <w:color w:val="0000FF"/>
            <w:sz w:val="20"/>
            <w:szCs w:val="20"/>
            <w:u w:val="single"/>
            <w:lang w:val="en-US" w:eastAsia="en-US" w:bidi="en-US"/>
          </w:rPr>
          <w:t>www.naih.hu</w:t>
        </w:r>
      </w:hyperlink>
    </w:p>
    <w:p w:rsidR="00EC1645" w:rsidRDefault="00875604">
      <w:pPr>
        <w:pStyle w:val="Szvegtrzs1"/>
        <w:ind w:left="1440"/>
        <w:rPr>
          <w:sz w:val="20"/>
          <w:szCs w:val="20"/>
        </w:rPr>
      </w:pPr>
      <w:r>
        <w:rPr>
          <w:sz w:val="20"/>
          <w:szCs w:val="20"/>
        </w:rPr>
        <w:t xml:space="preserve">E-mail: </w:t>
      </w:r>
      <w:hyperlink r:id="rId14" w:history="1">
        <w:r>
          <w:rPr>
            <w:sz w:val="20"/>
            <w:szCs w:val="20"/>
          </w:rPr>
          <w:t>ugyfelszolgalat@naih.hu</w:t>
        </w:r>
      </w:hyperlink>
    </w:p>
    <w:p w:rsidR="00EC1645" w:rsidRDefault="009448F5">
      <w:pPr>
        <w:pStyle w:val="Szvegtrzs1"/>
        <w:ind w:left="1440"/>
        <w:rPr>
          <w:sz w:val="20"/>
          <w:szCs w:val="20"/>
        </w:rPr>
      </w:pPr>
      <w:r>
        <w:rPr>
          <w:sz w:val="20"/>
          <w:szCs w:val="20"/>
        </w:rPr>
        <w:t xml:space="preserve">Tel: +36 1 391 </w:t>
      </w:r>
      <w:r w:rsidR="00875604">
        <w:rPr>
          <w:sz w:val="20"/>
          <w:szCs w:val="20"/>
        </w:rPr>
        <w:t>1400</w:t>
      </w:r>
    </w:p>
    <w:p w:rsidR="00EC1645" w:rsidRDefault="009448F5">
      <w:pPr>
        <w:pStyle w:val="Szvegtrzs1"/>
        <w:ind w:firstLine="720"/>
        <w:rPr>
          <w:sz w:val="20"/>
          <w:szCs w:val="20"/>
        </w:rPr>
      </w:pPr>
      <w:r>
        <w:rPr>
          <w:i/>
          <w:iCs/>
          <w:sz w:val="20"/>
          <w:szCs w:val="20"/>
        </w:rPr>
        <w:t>Bírósághoz fordulhat:</w:t>
      </w:r>
    </w:p>
    <w:p w:rsidR="00EC1645" w:rsidRDefault="00875604">
      <w:pPr>
        <w:pStyle w:val="Szvegtrzs1"/>
        <w:spacing w:after="220"/>
        <w:ind w:left="1440"/>
        <w:jc w:val="both"/>
        <w:rPr>
          <w:sz w:val="20"/>
          <w:szCs w:val="20"/>
        </w:rPr>
      </w:pPr>
      <w:r>
        <w:rPr>
          <w:sz w:val="20"/>
          <w:szCs w:val="20"/>
        </w:rPr>
        <w:t>Magyarországon a pert - az érintett választása szerint - az érintett lakóhelye vagy tartózkodási helye szerinti törvényszék előtt is megindíthatja. A lakóhelye vagy tartózkodási helye szerinti törvényszéket megkeresheti a</w:t>
      </w:r>
      <w:hyperlink r:id="rId15" w:history="1">
        <w:r>
          <w:rPr>
            <w:sz w:val="20"/>
            <w:szCs w:val="20"/>
          </w:rPr>
          <w:t xml:space="preserve"> </w:t>
        </w:r>
        <w:r>
          <w:rPr>
            <w:color w:val="0000FF"/>
            <w:sz w:val="20"/>
            <w:szCs w:val="20"/>
            <w:u w:val="single"/>
            <w:lang w:val="en-US" w:eastAsia="en-US" w:bidi="en-US"/>
          </w:rPr>
          <w:t>https://birosag.hu/birosag-kereso</w:t>
        </w:r>
        <w:r>
          <w:rPr>
            <w:color w:val="0000FF"/>
            <w:sz w:val="20"/>
            <w:szCs w:val="20"/>
            <w:lang w:val="en-US" w:eastAsia="en-US" w:bidi="en-US"/>
          </w:rPr>
          <w:t xml:space="preserve"> </w:t>
        </w:r>
      </w:hyperlink>
      <w:r>
        <w:rPr>
          <w:sz w:val="20"/>
          <w:szCs w:val="20"/>
        </w:rPr>
        <w:t>oldalon.</w:t>
      </w:r>
    </w:p>
    <w:p w:rsidR="00EC1645" w:rsidRDefault="00875604">
      <w:pPr>
        <w:pStyle w:val="Szvegtrzs1"/>
        <w:rPr>
          <w:sz w:val="20"/>
          <w:szCs w:val="20"/>
        </w:rPr>
      </w:pPr>
      <w:r>
        <w:rPr>
          <w:b/>
          <w:bCs/>
          <w:sz w:val="20"/>
          <w:szCs w:val="20"/>
          <w:u w:val="single"/>
        </w:rPr>
        <w:t>Kikötés:</w:t>
      </w:r>
    </w:p>
    <w:p w:rsidR="00EC1645" w:rsidRDefault="00875604">
      <w:pPr>
        <w:pStyle w:val="Szvegtrzs1"/>
        <w:spacing w:after="220"/>
        <w:jc w:val="both"/>
        <w:rPr>
          <w:sz w:val="20"/>
          <w:szCs w:val="20"/>
        </w:rPr>
      </w:pPr>
      <w:r>
        <w:rPr>
          <w:sz w:val="20"/>
          <w:szCs w:val="20"/>
        </w:rPr>
        <w:t>Az adatkezelő fenntartja a jogot, hogy az adatkezelési tájékoztatóját megváltoztassa. Erre különösen akkor kerülhet sor, ha jogszabály azt kötelezővé teszi. Az adatkezelő az érintettek számára erre vonatkozóan tájékoztatást nyújt.</w:t>
      </w:r>
      <w:bookmarkStart w:id="11" w:name="_GoBack"/>
      <w:bookmarkEnd w:id="11"/>
    </w:p>
    <w:sectPr w:rsidR="00EC1645">
      <w:headerReference w:type="default" r:id="rId16"/>
      <w:footerReference w:type="default" r:id="rId17"/>
      <w:pgSz w:w="11900" w:h="16840"/>
      <w:pgMar w:top="1076" w:right="1306" w:bottom="1484" w:left="134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15E" w:rsidRDefault="009F515E">
      <w:r>
        <w:separator/>
      </w:r>
    </w:p>
  </w:endnote>
  <w:endnote w:type="continuationSeparator" w:id="0">
    <w:p w:rsidR="009F515E" w:rsidRDefault="009F5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rajan Pro">
    <w:altName w:val="Times New Roman"/>
    <w:panose1 w:val="00000000000000000000"/>
    <w:charset w:val="00"/>
    <w:family w:val="roman"/>
    <w:notTrueType/>
    <w:pitch w:val="variable"/>
    <w:sig w:usb0="00000001"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198608"/>
      <w:docPartObj>
        <w:docPartGallery w:val="Page Numbers (Bottom of Page)"/>
        <w:docPartUnique/>
      </w:docPartObj>
    </w:sdtPr>
    <w:sdtEndPr/>
    <w:sdtContent>
      <w:p w:rsidR="00C46970" w:rsidRPr="00C46970" w:rsidRDefault="00C46970" w:rsidP="00C46970">
        <w:pPr>
          <w:pStyle w:val="llb"/>
          <w:jc w:val="center"/>
          <w:rPr>
            <w:rFonts w:ascii="Times New Roman" w:hAnsi="Times New Roman"/>
            <w:sz w:val="18"/>
            <w:szCs w:val="18"/>
          </w:rPr>
        </w:pPr>
        <w:r w:rsidRPr="00C46970">
          <w:rPr>
            <w:rFonts w:ascii="Times New Roman" w:hAnsi="Times New Roman"/>
            <w:sz w:val="18"/>
            <w:szCs w:val="18"/>
          </w:rPr>
          <w:t>Mátészalkai Tankerületi Központ</w:t>
        </w:r>
      </w:p>
      <w:p w:rsidR="00C46970" w:rsidRPr="00C46970" w:rsidRDefault="00C46970" w:rsidP="00C46970">
        <w:pPr>
          <w:pStyle w:val="llb"/>
          <w:jc w:val="center"/>
          <w:rPr>
            <w:rFonts w:ascii="Times New Roman" w:hAnsi="Times New Roman"/>
            <w:sz w:val="18"/>
            <w:szCs w:val="18"/>
          </w:rPr>
        </w:pPr>
        <w:r w:rsidRPr="00C46970">
          <w:rPr>
            <w:rFonts w:ascii="Times New Roman" w:hAnsi="Times New Roman"/>
            <w:sz w:val="18"/>
            <w:szCs w:val="18"/>
          </w:rPr>
          <w:t>4700 Mátészalka, Kölcsey utca 10.</w:t>
        </w:r>
      </w:p>
      <w:p w:rsidR="00C46970" w:rsidRPr="00C46970" w:rsidRDefault="00C46970" w:rsidP="00C46970">
        <w:pPr>
          <w:pStyle w:val="llb"/>
          <w:jc w:val="center"/>
          <w:rPr>
            <w:rFonts w:ascii="Times New Roman" w:hAnsi="Times New Roman"/>
            <w:sz w:val="18"/>
            <w:szCs w:val="18"/>
          </w:rPr>
        </w:pPr>
        <w:r w:rsidRPr="00C46970">
          <w:rPr>
            <w:rFonts w:ascii="Times New Roman" w:hAnsi="Times New Roman"/>
            <w:sz w:val="18"/>
            <w:szCs w:val="18"/>
          </w:rPr>
          <w:t>Tel</w:t>
        </w:r>
        <w:proofErr w:type="gramStart"/>
        <w:r w:rsidRPr="00C46970">
          <w:rPr>
            <w:rFonts w:ascii="Times New Roman" w:hAnsi="Times New Roman"/>
            <w:sz w:val="18"/>
            <w:szCs w:val="18"/>
          </w:rPr>
          <w:t>.:</w:t>
        </w:r>
        <w:proofErr w:type="gramEnd"/>
        <w:r w:rsidRPr="00C46970">
          <w:rPr>
            <w:rFonts w:ascii="Times New Roman" w:hAnsi="Times New Roman"/>
            <w:sz w:val="18"/>
            <w:szCs w:val="18"/>
          </w:rPr>
          <w:t xml:space="preserve"> 44/795-218</w:t>
        </w:r>
      </w:p>
      <w:p w:rsidR="00735CD3" w:rsidRDefault="00735CD3" w:rsidP="00C46970">
        <w:pPr>
          <w:pStyle w:val="llb"/>
          <w:jc w:val="center"/>
        </w:pPr>
        <w:r>
          <w:fldChar w:fldCharType="begin"/>
        </w:r>
        <w:r>
          <w:instrText>PAGE   \* MERGEFORMAT</w:instrText>
        </w:r>
        <w:r>
          <w:fldChar w:fldCharType="separate"/>
        </w:r>
        <w:r w:rsidR="002C14E1">
          <w:rPr>
            <w:noProof/>
          </w:rPr>
          <w:t>3</w:t>
        </w:r>
        <w:r>
          <w:fldChar w:fldCharType="end"/>
        </w:r>
      </w:p>
      <w:p w:rsidR="00735CD3" w:rsidRDefault="009F515E">
        <w:pPr>
          <w:pStyle w:val="llb"/>
          <w:jc w:val="right"/>
        </w:pPr>
      </w:p>
    </w:sdtContent>
  </w:sdt>
  <w:p w:rsidR="00EC1645" w:rsidRDefault="00EC1645">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645" w:rsidRDefault="00875604">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2355494</wp:posOffset>
              </wp:positionH>
              <wp:positionV relativeFrom="page">
                <wp:posOffset>10087661</wp:posOffset>
              </wp:positionV>
              <wp:extent cx="2882189" cy="649884"/>
              <wp:effectExtent l="0" t="0" r="0" b="0"/>
              <wp:wrapNone/>
              <wp:docPr id="5" name="Shape 5"/>
              <wp:cNvGraphicFramePr/>
              <a:graphic xmlns:a="http://schemas.openxmlformats.org/drawingml/2006/main">
                <a:graphicData uri="http://schemas.microsoft.com/office/word/2010/wordprocessingShape">
                  <wps:wsp>
                    <wps:cNvSpPr txBox="1"/>
                    <wps:spPr>
                      <a:xfrm>
                        <a:off x="0" y="0"/>
                        <a:ext cx="2882189" cy="649884"/>
                      </a:xfrm>
                      <a:prstGeom prst="rect">
                        <a:avLst/>
                      </a:prstGeom>
                      <a:noFill/>
                    </wps:spPr>
                    <wps:txbx>
                      <w:txbxContent>
                        <w:p w:rsidR="009E4E35" w:rsidRPr="004F105C" w:rsidRDefault="00C46970" w:rsidP="009E4E35">
                          <w:pPr>
                            <w:pStyle w:val="llb"/>
                            <w:jc w:val="center"/>
                            <w:rPr>
                              <w:rFonts w:ascii="Times New Roman" w:hAnsi="Times New Roman"/>
                              <w:sz w:val="18"/>
                              <w:szCs w:val="18"/>
                            </w:rPr>
                          </w:pPr>
                          <w:r>
                            <w:rPr>
                              <w:rFonts w:ascii="Times New Roman" w:hAnsi="Times New Roman"/>
                              <w:sz w:val="18"/>
                              <w:szCs w:val="18"/>
                            </w:rPr>
                            <w:t>Mátészalkai</w:t>
                          </w:r>
                          <w:r w:rsidR="009E4E35" w:rsidRPr="004F105C">
                            <w:rPr>
                              <w:rFonts w:ascii="Times New Roman" w:hAnsi="Times New Roman"/>
                              <w:sz w:val="18"/>
                              <w:szCs w:val="18"/>
                            </w:rPr>
                            <w:t xml:space="preserve"> Tankerületi Központ</w:t>
                          </w:r>
                        </w:p>
                        <w:p w:rsidR="009E4E35" w:rsidRPr="004F105C" w:rsidRDefault="00C46970" w:rsidP="009E4E35">
                          <w:pPr>
                            <w:pStyle w:val="llb"/>
                            <w:jc w:val="center"/>
                            <w:rPr>
                              <w:rFonts w:ascii="Times New Roman" w:hAnsi="Times New Roman"/>
                              <w:sz w:val="18"/>
                              <w:szCs w:val="18"/>
                            </w:rPr>
                          </w:pPr>
                          <w:r>
                            <w:rPr>
                              <w:rFonts w:ascii="Times New Roman" w:hAnsi="Times New Roman"/>
                              <w:sz w:val="18"/>
                              <w:szCs w:val="18"/>
                            </w:rPr>
                            <w:t>4700 Mátészalka, Kölcsey utca 10</w:t>
                          </w:r>
                          <w:r w:rsidR="009E4E35">
                            <w:rPr>
                              <w:rFonts w:ascii="Times New Roman" w:hAnsi="Times New Roman"/>
                              <w:sz w:val="18"/>
                              <w:szCs w:val="18"/>
                            </w:rPr>
                            <w:t>.</w:t>
                          </w:r>
                        </w:p>
                        <w:p w:rsidR="009E4E35" w:rsidRDefault="009E4E35" w:rsidP="009E4E35">
                          <w:pPr>
                            <w:pStyle w:val="llb"/>
                            <w:jc w:val="center"/>
                            <w:rPr>
                              <w:rFonts w:ascii="Times New Roman" w:hAnsi="Times New Roman"/>
                              <w:sz w:val="18"/>
                              <w:szCs w:val="18"/>
                            </w:rPr>
                          </w:pPr>
                          <w:r w:rsidRPr="004F105C">
                            <w:rPr>
                              <w:rFonts w:ascii="Times New Roman" w:hAnsi="Times New Roman"/>
                              <w:sz w:val="18"/>
                              <w:szCs w:val="18"/>
                            </w:rPr>
                            <w:t>Tel</w:t>
                          </w:r>
                          <w:proofErr w:type="gramStart"/>
                          <w:r w:rsidRPr="004F105C">
                            <w:rPr>
                              <w:rFonts w:ascii="Times New Roman" w:hAnsi="Times New Roman"/>
                              <w:sz w:val="18"/>
                              <w:szCs w:val="18"/>
                            </w:rPr>
                            <w:t>.:</w:t>
                          </w:r>
                          <w:proofErr w:type="gramEnd"/>
                          <w:r>
                            <w:rPr>
                              <w:rFonts w:ascii="Times New Roman" w:hAnsi="Times New Roman"/>
                              <w:sz w:val="18"/>
                              <w:szCs w:val="18"/>
                            </w:rPr>
                            <w:t xml:space="preserve"> 4</w:t>
                          </w:r>
                          <w:r w:rsidR="002C14E1">
                            <w:rPr>
                              <w:rFonts w:ascii="Times New Roman" w:hAnsi="Times New Roman"/>
                              <w:sz w:val="18"/>
                              <w:szCs w:val="18"/>
                            </w:rPr>
                            <w:t>4/795-218</w:t>
                          </w:r>
                        </w:p>
                        <w:p w:rsidR="009E4E35" w:rsidRPr="004F105C" w:rsidRDefault="009E4E35" w:rsidP="009E4E35">
                          <w:pPr>
                            <w:pStyle w:val="llb"/>
                            <w:jc w:val="center"/>
                            <w:rPr>
                              <w:rFonts w:ascii="Times New Roman" w:hAnsi="Times New Roman"/>
                              <w:sz w:val="18"/>
                              <w:szCs w:val="18"/>
                            </w:rPr>
                          </w:pPr>
                        </w:p>
                        <w:p w:rsidR="00EC1645" w:rsidRDefault="00EC1645">
                          <w:pPr>
                            <w:pStyle w:val="Fejlcvagylblc20"/>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5" o:spid="_x0000_s1026" type="#_x0000_t202" style="position:absolute;margin-left:185.45pt;margin-top:794.3pt;width:226.95pt;height:51.15pt;z-index:-44040178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1ujmQEAACQDAAAOAAAAZHJzL2Uyb0RvYy54bWysUlFP4zAMfj+J/xDlnXWbAJVq3QRCnE5C&#10;cBLcD8jSZI3UxCHO1u7f46TdQNzb6V5cx3Y/f/7s1WawHTuogAZczRezOWfKSWiM29X8z9vjZckZ&#10;RuEa0YFTNT8q5Jv1xY9V7yu1hBa6RgVGIA6r3te8jdFXRYGyVVbgDLxylNQQrIj0DLuiCaIndNsV&#10;y/n8pughND6AVIgUfRiTfJ3xtVYyvmiNKrKu5sQtZhuy3SZbrFei2gXhWyMnGuIfWFhhHDU9Qz2I&#10;KNg+mL+grJEBEHScSbAFaG2kyjPQNIv5t2leW+FVnoXEQX+WCf8frHw+/A7MNDW/5swJSyvKXdl1&#10;kqb3WFHFq6eaONzDQCs+xZGCaeJBB5u+NAujPIl8PAurhsgkBZdluVyUt5xJyt1c3ZblVYIpPv/2&#10;AeNPBZYlp+aBFpf1FIcnjGPpqSQ1c/Boui7FE8WRSvLisB0m3ltojkS7p93WHN/3IijOul+OxEuH&#10;cHLCydlOzgh/t4+gTe6ccEewqR2tInOfzibt+us7V30e9/oDAAD//wMAUEsDBBQABgAIAAAAIQBW&#10;YXez4QAAAA0BAAAPAAAAZHJzL2Rvd25yZXYueG1sTI/BTsMwEETvSPyDtUjcqN0CIUnjVBWCExJq&#10;Gg4cndhNrMbrELtt+HuWExx3ZjT7ptjMbmBnMwXrUcJyIYAZbL222En4qF/vUmAhKtRq8GgkfJsA&#10;m/L6qlC59heszHkfO0YlGHIloY9xzDkPbW+cCgs/GiTv4CenIp1Tx/WkLlTuBr4SIuFOWaQPvRrN&#10;c2/a4/7kJGw/sXqxX+/NrjpUtq4zgW/JUcrbm3m7BhbNHP/C8ItP6FASU+NPqAMbJNw/iYyiZDym&#10;aQKMIunqgdY0JCUZmbws+P8V5Q8AAAD//wMAUEsBAi0AFAAGAAgAAAAhALaDOJL+AAAA4QEAABMA&#10;AAAAAAAAAAAAAAAAAAAAAFtDb250ZW50X1R5cGVzXS54bWxQSwECLQAUAAYACAAAACEAOP0h/9YA&#10;AACUAQAACwAAAAAAAAAAAAAAAAAvAQAAX3JlbHMvLnJlbHNQSwECLQAUAAYACAAAACEAWudbo5kB&#10;AAAkAwAADgAAAAAAAAAAAAAAAAAuAgAAZHJzL2Uyb0RvYy54bWxQSwECLQAUAAYACAAAACEAVmF3&#10;s+EAAAANAQAADwAAAAAAAAAAAAAAAADzAwAAZHJzL2Rvd25yZXYueG1sUEsFBgAAAAAEAAQA8wAA&#10;AAEFAAAAAA==&#10;" filled="f" stroked="f">
              <v:textbox inset="0,0,0,0">
                <w:txbxContent>
                  <w:p w:rsidR="009E4E35" w:rsidRPr="004F105C" w:rsidRDefault="00C46970" w:rsidP="009E4E35">
                    <w:pPr>
                      <w:pStyle w:val="llb"/>
                      <w:jc w:val="center"/>
                      <w:rPr>
                        <w:rFonts w:ascii="Times New Roman" w:hAnsi="Times New Roman"/>
                        <w:sz w:val="18"/>
                        <w:szCs w:val="18"/>
                      </w:rPr>
                    </w:pPr>
                    <w:r>
                      <w:rPr>
                        <w:rFonts w:ascii="Times New Roman" w:hAnsi="Times New Roman"/>
                        <w:sz w:val="18"/>
                        <w:szCs w:val="18"/>
                      </w:rPr>
                      <w:t>Mátészalkai</w:t>
                    </w:r>
                    <w:r w:rsidR="009E4E35" w:rsidRPr="004F105C">
                      <w:rPr>
                        <w:rFonts w:ascii="Times New Roman" w:hAnsi="Times New Roman"/>
                        <w:sz w:val="18"/>
                        <w:szCs w:val="18"/>
                      </w:rPr>
                      <w:t xml:space="preserve"> Tankerületi Központ</w:t>
                    </w:r>
                  </w:p>
                  <w:p w:rsidR="009E4E35" w:rsidRPr="004F105C" w:rsidRDefault="00C46970" w:rsidP="009E4E35">
                    <w:pPr>
                      <w:pStyle w:val="llb"/>
                      <w:jc w:val="center"/>
                      <w:rPr>
                        <w:rFonts w:ascii="Times New Roman" w:hAnsi="Times New Roman"/>
                        <w:sz w:val="18"/>
                        <w:szCs w:val="18"/>
                      </w:rPr>
                    </w:pPr>
                    <w:r>
                      <w:rPr>
                        <w:rFonts w:ascii="Times New Roman" w:hAnsi="Times New Roman"/>
                        <w:sz w:val="18"/>
                        <w:szCs w:val="18"/>
                      </w:rPr>
                      <w:t>4700 Mátészalka, Kölcsey utca 10</w:t>
                    </w:r>
                    <w:r w:rsidR="009E4E35">
                      <w:rPr>
                        <w:rFonts w:ascii="Times New Roman" w:hAnsi="Times New Roman"/>
                        <w:sz w:val="18"/>
                        <w:szCs w:val="18"/>
                      </w:rPr>
                      <w:t>.</w:t>
                    </w:r>
                  </w:p>
                  <w:p w:rsidR="009E4E35" w:rsidRDefault="009E4E35" w:rsidP="009E4E35">
                    <w:pPr>
                      <w:pStyle w:val="llb"/>
                      <w:jc w:val="center"/>
                      <w:rPr>
                        <w:rFonts w:ascii="Times New Roman" w:hAnsi="Times New Roman"/>
                        <w:sz w:val="18"/>
                        <w:szCs w:val="18"/>
                      </w:rPr>
                    </w:pPr>
                    <w:r w:rsidRPr="004F105C">
                      <w:rPr>
                        <w:rFonts w:ascii="Times New Roman" w:hAnsi="Times New Roman"/>
                        <w:sz w:val="18"/>
                        <w:szCs w:val="18"/>
                      </w:rPr>
                      <w:t>Tel</w:t>
                    </w:r>
                    <w:proofErr w:type="gramStart"/>
                    <w:r w:rsidRPr="004F105C">
                      <w:rPr>
                        <w:rFonts w:ascii="Times New Roman" w:hAnsi="Times New Roman"/>
                        <w:sz w:val="18"/>
                        <w:szCs w:val="18"/>
                      </w:rPr>
                      <w:t>.:</w:t>
                    </w:r>
                    <w:proofErr w:type="gramEnd"/>
                    <w:r>
                      <w:rPr>
                        <w:rFonts w:ascii="Times New Roman" w:hAnsi="Times New Roman"/>
                        <w:sz w:val="18"/>
                        <w:szCs w:val="18"/>
                      </w:rPr>
                      <w:t xml:space="preserve"> 4</w:t>
                    </w:r>
                    <w:r w:rsidR="002C14E1">
                      <w:rPr>
                        <w:rFonts w:ascii="Times New Roman" w:hAnsi="Times New Roman"/>
                        <w:sz w:val="18"/>
                        <w:szCs w:val="18"/>
                      </w:rPr>
                      <w:t>4/795-218</w:t>
                    </w:r>
                  </w:p>
                  <w:p w:rsidR="009E4E35" w:rsidRPr="004F105C" w:rsidRDefault="009E4E35" w:rsidP="009E4E35">
                    <w:pPr>
                      <w:pStyle w:val="llb"/>
                      <w:jc w:val="center"/>
                      <w:rPr>
                        <w:rFonts w:ascii="Times New Roman" w:hAnsi="Times New Roman"/>
                        <w:sz w:val="18"/>
                        <w:szCs w:val="18"/>
                      </w:rPr>
                    </w:pPr>
                  </w:p>
                  <w:p w:rsidR="00EC1645" w:rsidRDefault="00EC1645">
                    <w:pPr>
                      <w:pStyle w:val="Fejlcvagylblc20"/>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645" w:rsidRDefault="00875604">
    <w:pPr>
      <w:spacing w:line="1"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3076575</wp:posOffset>
              </wp:positionH>
              <wp:positionV relativeFrom="bottomMargin">
                <wp:posOffset>133350</wp:posOffset>
              </wp:positionV>
              <wp:extent cx="76200" cy="1278255"/>
              <wp:effectExtent l="0" t="0" r="0" b="0"/>
              <wp:wrapNone/>
              <wp:docPr id="9" name="Shape 9"/>
              <wp:cNvGraphicFramePr/>
              <a:graphic xmlns:a="http://schemas.openxmlformats.org/drawingml/2006/main">
                <a:graphicData uri="http://schemas.microsoft.com/office/word/2010/wordprocessingShape">
                  <wps:wsp>
                    <wps:cNvSpPr txBox="1"/>
                    <wps:spPr>
                      <a:xfrm>
                        <a:off x="0" y="0"/>
                        <a:ext cx="76200" cy="1278255"/>
                      </a:xfrm>
                      <a:prstGeom prst="rect">
                        <a:avLst/>
                      </a:prstGeom>
                      <a:noFill/>
                    </wps:spPr>
                    <wps:txbx>
                      <w:txbxContent>
                        <w:sdt>
                          <w:sdtPr>
                            <w:id w:val="153498941"/>
                            <w:docPartObj>
                              <w:docPartGallery w:val="Page Numbers (Bottom of Page)"/>
                              <w:docPartUnique/>
                            </w:docPartObj>
                          </w:sdtPr>
                          <w:sdtEndPr>
                            <w:rPr>
                              <w:rFonts w:ascii="Times New Roman" w:eastAsia="Times New Roman" w:hAnsi="Times New Roman" w:cs="Times New Roman"/>
                              <w:sz w:val="20"/>
                              <w:szCs w:val="20"/>
                            </w:rPr>
                          </w:sdtEndPr>
                          <w:sdtContent>
                            <w:p w:rsidR="002C14E1" w:rsidRPr="00C46970" w:rsidRDefault="002C14E1" w:rsidP="002C14E1">
                              <w:pPr>
                                <w:pStyle w:val="llb"/>
                                <w:rPr>
                                  <w:rFonts w:ascii="Times New Roman" w:hAnsi="Times New Roman"/>
                                  <w:sz w:val="18"/>
                                  <w:szCs w:val="18"/>
                                </w:rPr>
                              </w:pPr>
                              <w:r w:rsidRPr="00C46970">
                                <w:rPr>
                                  <w:rFonts w:ascii="Times New Roman" w:hAnsi="Times New Roman"/>
                                  <w:sz w:val="18"/>
                                  <w:szCs w:val="18"/>
                                </w:rPr>
                                <w:t>Mátészalkai Tankerületi Központ</w:t>
                              </w:r>
                            </w:p>
                            <w:p w:rsidR="002C14E1" w:rsidRPr="00C46970" w:rsidRDefault="002C14E1" w:rsidP="002C14E1">
                              <w:pPr>
                                <w:pStyle w:val="llb"/>
                                <w:jc w:val="center"/>
                                <w:rPr>
                                  <w:rFonts w:ascii="Times New Roman" w:hAnsi="Times New Roman"/>
                                  <w:sz w:val="18"/>
                                  <w:szCs w:val="18"/>
                                </w:rPr>
                              </w:pPr>
                              <w:r w:rsidRPr="00C46970">
                                <w:rPr>
                                  <w:rFonts w:ascii="Times New Roman" w:hAnsi="Times New Roman"/>
                                  <w:sz w:val="18"/>
                                  <w:szCs w:val="18"/>
                                </w:rPr>
                                <w:t>4700 Mátészalka, Kölcsey utca 10.</w:t>
                              </w:r>
                            </w:p>
                            <w:p w:rsidR="002C14E1" w:rsidRPr="00C46970" w:rsidRDefault="002C14E1" w:rsidP="002C14E1">
                              <w:pPr>
                                <w:pStyle w:val="llb"/>
                                <w:jc w:val="center"/>
                                <w:rPr>
                                  <w:rFonts w:ascii="Times New Roman" w:hAnsi="Times New Roman"/>
                                  <w:sz w:val="18"/>
                                  <w:szCs w:val="18"/>
                                </w:rPr>
                              </w:pPr>
                              <w:r w:rsidRPr="00C46970">
                                <w:rPr>
                                  <w:rFonts w:ascii="Times New Roman" w:hAnsi="Times New Roman"/>
                                  <w:sz w:val="18"/>
                                  <w:szCs w:val="18"/>
                                </w:rPr>
                                <w:t>Tel</w:t>
                              </w:r>
                              <w:proofErr w:type="gramStart"/>
                              <w:r w:rsidRPr="00C46970">
                                <w:rPr>
                                  <w:rFonts w:ascii="Times New Roman" w:hAnsi="Times New Roman"/>
                                  <w:sz w:val="18"/>
                                  <w:szCs w:val="18"/>
                                </w:rPr>
                                <w:t>.:</w:t>
                              </w:r>
                              <w:proofErr w:type="gramEnd"/>
                              <w:r w:rsidRPr="00C46970">
                                <w:rPr>
                                  <w:rFonts w:ascii="Times New Roman" w:hAnsi="Times New Roman"/>
                                  <w:sz w:val="18"/>
                                  <w:szCs w:val="18"/>
                                </w:rPr>
                                <w:t xml:space="preserve"> 44/795-218</w:t>
                              </w:r>
                            </w:p>
                            <w:p w:rsidR="002C14E1" w:rsidRDefault="002C14E1" w:rsidP="002C14E1">
                              <w:pPr>
                                <w:pStyle w:val="llb"/>
                                <w:jc w:val="center"/>
                              </w:pPr>
                              <w:r>
                                <w:fldChar w:fldCharType="begin"/>
                              </w:r>
                              <w:r>
                                <w:instrText>PAGE   \* MERGEFORMAT</w:instrText>
                              </w:r>
                              <w:r>
                                <w:fldChar w:fldCharType="separate"/>
                              </w:r>
                              <w:r>
                                <w:rPr>
                                  <w:noProof/>
                                </w:rPr>
                                <w:t>5</w:t>
                              </w:r>
                              <w:r>
                                <w:fldChar w:fldCharType="end"/>
                              </w:r>
                            </w:p>
                            <w:p w:rsidR="00EC1645" w:rsidRDefault="002C14E1" w:rsidP="002C14E1">
                              <w:pPr>
                                <w:pStyle w:val="Fejlcvagylblc20"/>
                                <w:rPr>
                                  <w:sz w:val="24"/>
                                  <w:szCs w:val="24"/>
                                </w:rPr>
                              </w:pPr>
                            </w:p>
                          </w:sdtContent>
                        </w:sdt>
                      </w:txbxContent>
                    </wps:txbx>
                    <wps:bodyPr wrap="non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9" o:spid="_x0000_s1027" type="#_x0000_t202" style="position:absolute;margin-left:242.25pt;margin-top:10.5pt;width:6pt;height:100.65pt;z-index:-440401782;visibility:visible;mso-wrap-style:non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OmTlgEAACgDAAAOAAAAZHJzL2Uyb0RvYy54bWysUttOwzAMfUfiH6K8s26TdqvWTaBpCAkB&#10;EvABWZqskZo4SrK1+3ucdN0QvCFeXMd2j318vFy3uiZH4bwCU9DRYEiJMBxKZfYF/fzY3s0p8YGZ&#10;ktVgREFPwtP16vZm2dhcjKGCuhSOIIjxeWMLWoVg8yzzvBKa+QFYYTApwWkW8On2WelYg+i6zsbD&#10;4TRrwJXWARfeY3TTJekq4UspeHiV0otA6oLibCFZl+wu2my1ZPneMVspfh6D/WEKzZTBpheoDQuM&#10;HJz6BaUVd+BBhgEHnYGUiovEAdmMhj/YvFfMisQFl+PtZU3+/2D5y/HNEVUWdEGJYRolSl3JIq6m&#10;sT7HineLNaF9gBYl7uMeg5FxK52OX+RCMI9LPl0WK9pAOAZnU9SKEo6Z0Xg2H08mESW7/mydD48C&#10;NIlOQR3qltbJjs8+dKV9SexlYKvqOsbjhN0k0Qvtrk1kLlPuoDzh8A0qXFCDJ0hJ/WRwgfEYesf1&#10;zu7sdD3uDwGkSu0jeAd17olyJALn04l6f3+nquuBr74AAAD//wMAUEsDBBQABgAIAAAAIQCDFcNZ&#10;3QAAAAoBAAAPAAAAZHJzL2Rvd25yZXYueG1sTI89T8MwEIZ3JP6DdUhs1E4IVQhxKoRgpFILC5sT&#10;X5O08TmKnTb8e44Jxnvv0ftRbhY3iDNOofekIVkpEEiNtz21Gj4/3u5yECEasmbwhBq+McCmur4q&#10;TWH9hXZ43sdWsAmFwmjoYhwLKUPToTNh5Uck/h385Ezkc2qlncyFzd0gU6XW0pmeOKEzI7502Jz2&#10;s9NweN+ejq/zTh1bleNXMuFSJ1utb2+W5ycQEZf4B8Nvfa4OFXeq/Uw2iEFDlmcPjGpIE97EQPa4&#10;ZqFmIU3vQVal/D+h+gEAAP//AwBQSwECLQAUAAYACAAAACEAtoM4kv4AAADhAQAAEwAAAAAAAAAA&#10;AAAAAAAAAAAAW0NvbnRlbnRfVHlwZXNdLnhtbFBLAQItABQABgAIAAAAIQA4/SH/1gAAAJQBAAAL&#10;AAAAAAAAAAAAAAAAAC8BAABfcmVscy8ucmVsc1BLAQItABQABgAIAAAAIQBNXOmTlgEAACgDAAAO&#10;AAAAAAAAAAAAAAAAAC4CAABkcnMvZTJvRG9jLnhtbFBLAQItABQABgAIAAAAIQCDFcNZ3QAAAAoB&#10;AAAPAAAAAAAAAAAAAAAAAPADAABkcnMvZG93bnJldi54bWxQSwUGAAAAAAQABADzAAAA+gQAAAAA&#10;" filled="f" stroked="f">
              <v:textbox inset="0,0,0,0">
                <w:txbxContent>
                  <w:sdt>
                    <w:sdtPr>
                      <w:id w:val="153498941"/>
                      <w:docPartObj>
                        <w:docPartGallery w:val="Page Numbers (Bottom of Page)"/>
                        <w:docPartUnique/>
                      </w:docPartObj>
                    </w:sdtPr>
                    <w:sdtEndPr>
                      <w:rPr>
                        <w:rFonts w:ascii="Times New Roman" w:eastAsia="Times New Roman" w:hAnsi="Times New Roman" w:cs="Times New Roman"/>
                        <w:sz w:val="20"/>
                        <w:szCs w:val="20"/>
                      </w:rPr>
                    </w:sdtEndPr>
                    <w:sdtContent>
                      <w:p w:rsidR="002C14E1" w:rsidRPr="00C46970" w:rsidRDefault="002C14E1" w:rsidP="002C14E1">
                        <w:pPr>
                          <w:pStyle w:val="llb"/>
                          <w:rPr>
                            <w:rFonts w:ascii="Times New Roman" w:hAnsi="Times New Roman"/>
                            <w:sz w:val="18"/>
                            <w:szCs w:val="18"/>
                          </w:rPr>
                        </w:pPr>
                        <w:r w:rsidRPr="00C46970">
                          <w:rPr>
                            <w:rFonts w:ascii="Times New Roman" w:hAnsi="Times New Roman"/>
                            <w:sz w:val="18"/>
                            <w:szCs w:val="18"/>
                          </w:rPr>
                          <w:t>Mátészalkai Tankerületi Központ</w:t>
                        </w:r>
                      </w:p>
                      <w:p w:rsidR="002C14E1" w:rsidRPr="00C46970" w:rsidRDefault="002C14E1" w:rsidP="002C14E1">
                        <w:pPr>
                          <w:pStyle w:val="llb"/>
                          <w:jc w:val="center"/>
                          <w:rPr>
                            <w:rFonts w:ascii="Times New Roman" w:hAnsi="Times New Roman"/>
                            <w:sz w:val="18"/>
                            <w:szCs w:val="18"/>
                          </w:rPr>
                        </w:pPr>
                        <w:r w:rsidRPr="00C46970">
                          <w:rPr>
                            <w:rFonts w:ascii="Times New Roman" w:hAnsi="Times New Roman"/>
                            <w:sz w:val="18"/>
                            <w:szCs w:val="18"/>
                          </w:rPr>
                          <w:t>4700 Mátészalka, Kölcsey utca 10.</w:t>
                        </w:r>
                      </w:p>
                      <w:p w:rsidR="002C14E1" w:rsidRPr="00C46970" w:rsidRDefault="002C14E1" w:rsidP="002C14E1">
                        <w:pPr>
                          <w:pStyle w:val="llb"/>
                          <w:jc w:val="center"/>
                          <w:rPr>
                            <w:rFonts w:ascii="Times New Roman" w:hAnsi="Times New Roman"/>
                            <w:sz w:val="18"/>
                            <w:szCs w:val="18"/>
                          </w:rPr>
                        </w:pPr>
                        <w:r w:rsidRPr="00C46970">
                          <w:rPr>
                            <w:rFonts w:ascii="Times New Roman" w:hAnsi="Times New Roman"/>
                            <w:sz w:val="18"/>
                            <w:szCs w:val="18"/>
                          </w:rPr>
                          <w:t>Tel</w:t>
                        </w:r>
                        <w:proofErr w:type="gramStart"/>
                        <w:r w:rsidRPr="00C46970">
                          <w:rPr>
                            <w:rFonts w:ascii="Times New Roman" w:hAnsi="Times New Roman"/>
                            <w:sz w:val="18"/>
                            <w:szCs w:val="18"/>
                          </w:rPr>
                          <w:t>.:</w:t>
                        </w:r>
                        <w:proofErr w:type="gramEnd"/>
                        <w:r w:rsidRPr="00C46970">
                          <w:rPr>
                            <w:rFonts w:ascii="Times New Roman" w:hAnsi="Times New Roman"/>
                            <w:sz w:val="18"/>
                            <w:szCs w:val="18"/>
                          </w:rPr>
                          <w:t xml:space="preserve"> 44/795-218</w:t>
                        </w:r>
                      </w:p>
                      <w:p w:rsidR="002C14E1" w:rsidRDefault="002C14E1" w:rsidP="002C14E1">
                        <w:pPr>
                          <w:pStyle w:val="llb"/>
                          <w:jc w:val="center"/>
                        </w:pPr>
                        <w:r>
                          <w:fldChar w:fldCharType="begin"/>
                        </w:r>
                        <w:r>
                          <w:instrText>PAGE   \* MERGEFORMAT</w:instrText>
                        </w:r>
                        <w:r>
                          <w:fldChar w:fldCharType="separate"/>
                        </w:r>
                        <w:r>
                          <w:rPr>
                            <w:noProof/>
                          </w:rPr>
                          <w:t>5</w:t>
                        </w:r>
                        <w:r>
                          <w:fldChar w:fldCharType="end"/>
                        </w:r>
                      </w:p>
                      <w:p w:rsidR="00EC1645" w:rsidRDefault="002C14E1" w:rsidP="002C14E1">
                        <w:pPr>
                          <w:pStyle w:val="Fejlcvagylblc20"/>
                          <w:rPr>
                            <w:sz w:val="24"/>
                            <w:szCs w:val="24"/>
                          </w:rPr>
                        </w:pPr>
                      </w:p>
                    </w:sdtContent>
                  </w:sdt>
                </w:txbxContent>
              </v:textbox>
              <w10:wrap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15E" w:rsidRDefault="009F515E"/>
  </w:footnote>
  <w:footnote w:type="continuationSeparator" w:id="0">
    <w:p w:rsidR="009F515E" w:rsidRDefault="009F515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846" w:rsidRPr="00F95130" w:rsidRDefault="00377846" w:rsidP="00377846">
    <w:pPr>
      <w:pStyle w:val="Feladcmebortkon"/>
      <w:jc w:val="center"/>
      <w:rPr>
        <w:rFonts w:ascii="Times New Roman" w:hAnsi="Times New Roman"/>
        <w:sz w:val="24"/>
        <w:szCs w:val="24"/>
      </w:rPr>
    </w:pPr>
    <w:r>
      <w:rPr>
        <w:rFonts w:ascii="Times New Roman" w:hAnsi="Times New Roman"/>
        <w:noProof/>
      </w:rPr>
      <w:drawing>
        <wp:inline distT="0" distB="0" distL="0" distR="0" wp14:anchorId="7A589E88" wp14:editId="34C6C630">
          <wp:extent cx="5743575" cy="895350"/>
          <wp:effectExtent l="0" t="0" r="9525" b="0"/>
          <wp:docPr id="2" name="Kép 2" descr="Nemzeti_Eroforras_Miniszter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Nemzeti_Eroforras_Miniszterium"/>
                  <pic:cNvPicPr>
                    <a:picLocks noChangeAspect="1" noChangeArrowheads="1"/>
                  </pic:cNvPicPr>
                </pic:nvPicPr>
                <pic:blipFill>
                  <a:blip r:embed="rId1" cstate="print">
                    <a:extLst>
                      <a:ext uri="{28A0092B-C50C-407E-A947-70E740481C1C}">
                        <a14:useLocalDpi xmlns:a14="http://schemas.microsoft.com/office/drawing/2010/main" val="0"/>
                      </a:ext>
                    </a:extLst>
                  </a:blip>
                  <a:srcRect b="26703"/>
                  <a:stretch>
                    <a:fillRect/>
                  </a:stretch>
                </pic:blipFill>
                <pic:spPr bwMode="auto">
                  <a:xfrm>
                    <a:off x="0" y="0"/>
                    <a:ext cx="5743575" cy="895350"/>
                  </a:xfrm>
                  <a:prstGeom prst="rect">
                    <a:avLst/>
                  </a:prstGeom>
                  <a:noFill/>
                  <a:ln>
                    <a:noFill/>
                  </a:ln>
                </pic:spPr>
              </pic:pic>
            </a:graphicData>
          </a:graphic>
        </wp:inline>
      </w:drawing>
    </w:r>
  </w:p>
  <w:p w:rsidR="00377846" w:rsidRPr="00377846" w:rsidRDefault="00C46970" w:rsidP="00377846">
    <w:pPr>
      <w:spacing w:after="240"/>
      <w:jc w:val="center"/>
      <w:rPr>
        <w:rFonts w:ascii="Times New Roman" w:hAnsi="Times New Roman" w:cs="Times New Roman"/>
      </w:rPr>
    </w:pPr>
    <w:r>
      <w:rPr>
        <w:rFonts w:ascii="Times New Roman" w:hAnsi="Times New Roman" w:cs="Times New Roman"/>
      </w:rPr>
      <w:t>Mátészalkai</w:t>
    </w:r>
    <w:r w:rsidR="00377846" w:rsidRPr="00377846">
      <w:rPr>
        <w:rFonts w:ascii="Times New Roman" w:hAnsi="Times New Roman" w:cs="Times New Roman"/>
      </w:rPr>
      <w:t xml:space="preserve"> Tankerületi Központ</w:t>
    </w:r>
  </w:p>
  <w:p w:rsidR="00377846" w:rsidRDefault="00377846" w:rsidP="00377846">
    <w:pPr>
      <w:spacing w:after="240"/>
      <w:jc w:val="center"/>
      <w:rPr>
        <w:rFonts w:ascii="Trajan Pro" w:hAnsi="Trajan Pro"/>
      </w:rPr>
    </w:pPr>
  </w:p>
  <w:p w:rsidR="00EC1645" w:rsidRDefault="00EC1645">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645" w:rsidRPr="00735CD3" w:rsidRDefault="00EC1645" w:rsidP="00735CD3">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E7DDA"/>
    <w:multiLevelType w:val="multilevel"/>
    <w:tmpl w:val="BAA24724"/>
    <w:lvl w:ilvl="0">
      <w:start w:val="3"/>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AD4C87"/>
    <w:multiLevelType w:val="multilevel"/>
    <w:tmpl w:val="23B8C9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14D0B20"/>
    <w:multiLevelType w:val="multilevel"/>
    <w:tmpl w:val="108E82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B543A69"/>
    <w:multiLevelType w:val="multilevel"/>
    <w:tmpl w:val="FD44C9A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B62345"/>
    <w:multiLevelType w:val="multilevel"/>
    <w:tmpl w:val="9B4C3C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BF2671"/>
    <w:multiLevelType w:val="multilevel"/>
    <w:tmpl w:val="0DBE9B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EB01358"/>
    <w:multiLevelType w:val="multilevel"/>
    <w:tmpl w:val="B45488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2991A3A"/>
    <w:multiLevelType w:val="multilevel"/>
    <w:tmpl w:val="9B0E064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7"/>
  </w:num>
  <w:num w:numId="4">
    <w:abstractNumId w:val="6"/>
  </w:num>
  <w:num w:numId="5">
    <w:abstractNumId w:val="4"/>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645"/>
    <w:rsid w:val="00054218"/>
    <w:rsid w:val="00125BC5"/>
    <w:rsid w:val="001A5DB3"/>
    <w:rsid w:val="001D6BBF"/>
    <w:rsid w:val="002C14E1"/>
    <w:rsid w:val="00335184"/>
    <w:rsid w:val="00377846"/>
    <w:rsid w:val="0039195A"/>
    <w:rsid w:val="00462CDB"/>
    <w:rsid w:val="00585186"/>
    <w:rsid w:val="005C5820"/>
    <w:rsid w:val="00620988"/>
    <w:rsid w:val="0065302A"/>
    <w:rsid w:val="00673C4F"/>
    <w:rsid w:val="006D3272"/>
    <w:rsid w:val="006E2378"/>
    <w:rsid w:val="006F104A"/>
    <w:rsid w:val="006F5924"/>
    <w:rsid w:val="00723063"/>
    <w:rsid w:val="00735CD3"/>
    <w:rsid w:val="00875604"/>
    <w:rsid w:val="009448F5"/>
    <w:rsid w:val="009E4E35"/>
    <w:rsid w:val="009F515E"/>
    <w:rsid w:val="00A33ED0"/>
    <w:rsid w:val="00AD5D0B"/>
    <w:rsid w:val="00BA3CDD"/>
    <w:rsid w:val="00C46970"/>
    <w:rsid w:val="00E56766"/>
    <w:rsid w:val="00EB4B40"/>
    <w:rsid w:val="00EC164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06B089"/>
  <w15:docId w15:val="{6CD4EAD6-2CE9-45B4-9CA8-16BFF77A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hu-HU" w:eastAsia="hu-HU" w:bidi="hu-H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rPr>
      <w:color w:val="00000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Szvegtrzs">
    <w:name w:val="Szövegtörzs_"/>
    <w:basedOn w:val="Bekezdsalapbettpusa"/>
    <w:link w:val="Szvegtrzs1"/>
    <w:rPr>
      <w:rFonts w:ascii="Times New Roman" w:eastAsia="Times New Roman" w:hAnsi="Times New Roman" w:cs="Times New Roman"/>
      <w:b w:val="0"/>
      <w:bCs w:val="0"/>
      <w:i w:val="0"/>
      <w:iCs w:val="0"/>
      <w:smallCaps w:val="0"/>
      <w:strike w:val="0"/>
      <w:sz w:val="22"/>
      <w:szCs w:val="22"/>
      <w:u w:val="none"/>
    </w:rPr>
  </w:style>
  <w:style w:type="character" w:customStyle="1" w:styleId="Fejlcvagylblc2">
    <w:name w:val="Fejléc vagy lábléc (2)_"/>
    <w:basedOn w:val="Bekezdsalapbettpusa"/>
    <w:link w:val="Fejlcvagylblc20"/>
    <w:rPr>
      <w:rFonts w:ascii="Times New Roman" w:eastAsia="Times New Roman" w:hAnsi="Times New Roman" w:cs="Times New Roman"/>
      <w:b w:val="0"/>
      <w:bCs w:val="0"/>
      <w:i w:val="0"/>
      <w:iCs w:val="0"/>
      <w:smallCaps w:val="0"/>
      <w:strike w:val="0"/>
      <w:sz w:val="20"/>
      <w:szCs w:val="20"/>
      <w:u w:val="none"/>
    </w:rPr>
  </w:style>
  <w:style w:type="character" w:customStyle="1" w:styleId="Cmsor1">
    <w:name w:val="Címsor #1_"/>
    <w:basedOn w:val="Bekezdsalapbettpusa"/>
    <w:link w:val="Cmsor10"/>
    <w:rPr>
      <w:rFonts w:ascii="Arial" w:eastAsia="Arial" w:hAnsi="Arial" w:cs="Arial"/>
      <w:b/>
      <w:bCs/>
      <w:i w:val="0"/>
      <w:iCs w:val="0"/>
      <w:smallCaps w:val="0"/>
      <w:strike w:val="0"/>
      <w:color w:val="202020"/>
      <w:sz w:val="22"/>
      <w:szCs w:val="22"/>
      <w:u w:val="none"/>
    </w:rPr>
  </w:style>
  <w:style w:type="character" w:customStyle="1" w:styleId="Cmsor2">
    <w:name w:val="Címsor #2_"/>
    <w:basedOn w:val="Bekezdsalapbettpusa"/>
    <w:link w:val="Cmsor20"/>
    <w:rPr>
      <w:rFonts w:ascii="Times New Roman" w:eastAsia="Times New Roman" w:hAnsi="Times New Roman" w:cs="Times New Roman"/>
      <w:b/>
      <w:bCs/>
      <w:i w:val="0"/>
      <w:iCs w:val="0"/>
      <w:smallCaps w:val="0"/>
      <w:strike w:val="0"/>
      <w:sz w:val="22"/>
      <w:szCs w:val="22"/>
      <w:u w:val="single"/>
    </w:rPr>
  </w:style>
  <w:style w:type="character" w:customStyle="1" w:styleId="Egyb">
    <w:name w:val="Egyéb_"/>
    <w:basedOn w:val="Bekezdsalapbettpusa"/>
    <w:link w:val="Egyb0"/>
    <w:rPr>
      <w:rFonts w:ascii="Times New Roman" w:eastAsia="Times New Roman" w:hAnsi="Times New Roman" w:cs="Times New Roman"/>
      <w:b w:val="0"/>
      <w:bCs w:val="0"/>
      <w:i w:val="0"/>
      <w:iCs w:val="0"/>
      <w:smallCaps w:val="0"/>
      <w:strike w:val="0"/>
      <w:sz w:val="22"/>
      <w:szCs w:val="22"/>
      <w:u w:val="none"/>
    </w:rPr>
  </w:style>
  <w:style w:type="paragraph" w:customStyle="1" w:styleId="Szvegtrzs1">
    <w:name w:val="Szövegtörzs1"/>
    <w:basedOn w:val="Norml"/>
    <w:link w:val="Szvegtrzs"/>
    <w:rPr>
      <w:rFonts w:ascii="Times New Roman" w:eastAsia="Times New Roman" w:hAnsi="Times New Roman" w:cs="Times New Roman"/>
      <w:sz w:val="22"/>
      <w:szCs w:val="22"/>
    </w:rPr>
  </w:style>
  <w:style w:type="paragraph" w:customStyle="1" w:styleId="Fejlcvagylblc20">
    <w:name w:val="Fejléc vagy lábléc (2)"/>
    <w:basedOn w:val="Norml"/>
    <w:link w:val="Fejlcvagylblc2"/>
    <w:rPr>
      <w:rFonts w:ascii="Times New Roman" w:eastAsia="Times New Roman" w:hAnsi="Times New Roman" w:cs="Times New Roman"/>
      <w:sz w:val="20"/>
      <w:szCs w:val="20"/>
    </w:rPr>
  </w:style>
  <w:style w:type="paragraph" w:customStyle="1" w:styleId="Cmsor10">
    <w:name w:val="Címsor #1"/>
    <w:basedOn w:val="Norml"/>
    <w:link w:val="Cmsor1"/>
    <w:pPr>
      <w:spacing w:after="680"/>
      <w:jc w:val="center"/>
      <w:outlineLvl w:val="0"/>
    </w:pPr>
    <w:rPr>
      <w:rFonts w:ascii="Arial" w:eastAsia="Arial" w:hAnsi="Arial" w:cs="Arial"/>
      <w:b/>
      <w:bCs/>
      <w:color w:val="202020"/>
      <w:sz w:val="22"/>
      <w:szCs w:val="22"/>
    </w:rPr>
  </w:style>
  <w:style w:type="paragraph" w:customStyle="1" w:styleId="Cmsor20">
    <w:name w:val="Címsor #2"/>
    <w:basedOn w:val="Norml"/>
    <w:link w:val="Cmsor2"/>
    <w:pPr>
      <w:outlineLvl w:val="1"/>
    </w:pPr>
    <w:rPr>
      <w:rFonts w:ascii="Times New Roman" w:eastAsia="Times New Roman" w:hAnsi="Times New Roman" w:cs="Times New Roman"/>
      <w:b/>
      <w:bCs/>
      <w:sz w:val="22"/>
      <w:szCs w:val="22"/>
      <w:u w:val="single"/>
    </w:rPr>
  </w:style>
  <w:style w:type="paragraph" w:customStyle="1" w:styleId="Egyb0">
    <w:name w:val="Egyéb"/>
    <w:basedOn w:val="Norml"/>
    <w:link w:val="Egyb"/>
    <w:rPr>
      <w:rFonts w:ascii="Times New Roman" w:eastAsia="Times New Roman" w:hAnsi="Times New Roman" w:cs="Times New Roman"/>
      <w:sz w:val="22"/>
      <w:szCs w:val="22"/>
    </w:rPr>
  </w:style>
  <w:style w:type="paragraph" w:styleId="lfej">
    <w:name w:val="header"/>
    <w:basedOn w:val="Norml"/>
    <w:link w:val="lfejChar"/>
    <w:uiPriority w:val="99"/>
    <w:unhideWhenUsed/>
    <w:rsid w:val="00377846"/>
    <w:pPr>
      <w:tabs>
        <w:tab w:val="center" w:pos="4536"/>
        <w:tab w:val="right" w:pos="9072"/>
      </w:tabs>
    </w:pPr>
  </w:style>
  <w:style w:type="character" w:customStyle="1" w:styleId="lfejChar">
    <w:name w:val="Élőfej Char"/>
    <w:basedOn w:val="Bekezdsalapbettpusa"/>
    <w:link w:val="lfej"/>
    <w:uiPriority w:val="99"/>
    <w:rsid w:val="00377846"/>
    <w:rPr>
      <w:color w:val="000000"/>
    </w:rPr>
  </w:style>
  <w:style w:type="paragraph" w:styleId="llb">
    <w:name w:val="footer"/>
    <w:basedOn w:val="Norml"/>
    <w:link w:val="llbChar"/>
    <w:uiPriority w:val="99"/>
    <w:unhideWhenUsed/>
    <w:rsid w:val="00377846"/>
    <w:pPr>
      <w:tabs>
        <w:tab w:val="center" w:pos="4536"/>
        <w:tab w:val="right" w:pos="9072"/>
      </w:tabs>
    </w:pPr>
  </w:style>
  <w:style w:type="character" w:customStyle="1" w:styleId="llbChar">
    <w:name w:val="Élőláb Char"/>
    <w:basedOn w:val="Bekezdsalapbettpusa"/>
    <w:link w:val="llb"/>
    <w:uiPriority w:val="99"/>
    <w:rsid w:val="00377846"/>
    <w:rPr>
      <w:color w:val="000000"/>
    </w:rPr>
  </w:style>
  <w:style w:type="paragraph" w:styleId="Feladcmebortkon">
    <w:name w:val="envelope return"/>
    <w:basedOn w:val="Norml"/>
    <w:rsid w:val="00377846"/>
    <w:pPr>
      <w:widowControl/>
    </w:pPr>
    <w:rPr>
      <w:rFonts w:ascii="Arial" w:eastAsia="Times New Roman" w:hAnsi="Arial" w:cs="Times New Roman"/>
      <w:color w:val="auto"/>
      <w:sz w:val="20"/>
      <w:szCs w:val="20"/>
      <w:lang w:bidi="ar-SA"/>
    </w:rPr>
  </w:style>
  <w:style w:type="character" w:styleId="Hiperhivatkozs">
    <w:name w:val="Hyperlink"/>
    <w:basedOn w:val="Bekezdsalapbettpusa"/>
    <w:uiPriority w:val="99"/>
    <w:unhideWhenUsed/>
    <w:rsid w:val="00377846"/>
    <w:rPr>
      <w:color w:val="0563C1" w:themeColor="hyperlink"/>
      <w:u w:val="single"/>
    </w:rPr>
  </w:style>
  <w:style w:type="character" w:customStyle="1" w:styleId="fckrbts">
    <w:name w:val="fckrbts"/>
    <w:basedOn w:val="Bekezdsalapbettpusa"/>
    <w:rsid w:val="0039195A"/>
  </w:style>
  <w:style w:type="paragraph" w:styleId="Buborkszveg">
    <w:name w:val="Balloon Text"/>
    <w:basedOn w:val="Norml"/>
    <w:link w:val="BuborkszvegChar"/>
    <w:uiPriority w:val="99"/>
    <w:semiHidden/>
    <w:unhideWhenUsed/>
    <w:rsid w:val="001A5DB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1A5DB3"/>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naih.h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0visszaeles.bejelentes.mateszalka@kk.gov.hu%20" TargetMode="External"/><Relationship Id="rId12" Type="http://schemas.openxmlformats.org/officeDocument/2006/relationships/hyperlink" Target="mailto:sarolta.vegh.galne@kk.gov.hu"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teszalka@kk.gov.hu" TargetMode="External"/><Relationship Id="rId5" Type="http://schemas.openxmlformats.org/officeDocument/2006/relationships/footnotes" Target="footnotes.xml"/><Relationship Id="rId15" Type="http://schemas.openxmlformats.org/officeDocument/2006/relationships/hyperlink" Target="https://birosag.hu/birosag-kereso"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ugyfelszolgalat@naih.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2127</Words>
  <Characters>14681</Characters>
  <Application>Microsoft Office Word</Application>
  <DocSecurity>0</DocSecurity>
  <Lines>122</Lines>
  <Paragraphs>33</Paragraphs>
  <ScaleCrop>false</ScaleCrop>
  <HeadingPairs>
    <vt:vector size="2" baseType="variant">
      <vt:variant>
        <vt:lpstr>Cím</vt:lpstr>
      </vt:variant>
      <vt:variant>
        <vt:i4>1</vt:i4>
      </vt:variant>
    </vt:vector>
  </HeadingPairs>
  <TitlesOfParts>
    <vt:vector size="1" baseType="lpstr">
      <vt:lpstr>Intézmény</vt:lpstr>
    </vt:vector>
  </TitlesOfParts>
  <Company>NISZ</Company>
  <LinksUpToDate>false</LinksUpToDate>
  <CharactersWithSpaces>16775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Intézmény</dc:title>
  <dc:subject/>
  <dc:creator>erika.siska@kk.gov.hu</dc:creator>
  <cp:keywords/>
  <cp:lastModifiedBy>Lakatos Csaba</cp:lastModifiedBy>
  <cp:revision>5</cp:revision>
  <cp:lastPrinted>2023-08-08T09:38:00Z</cp:lastPrinted>
  <dcterms:created xsi:type="dcterms:W3CDTF">2024-05-14T08:43:00Z</dcterms:created>
  <dcterms:modified xsi:type="dcterms:W3CDTF">2024-08-26T08:10:00Z</dcterms:modified>
</cp:coreProperties>
</file>